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02A9" w14:textId="77777777" w:rsidR="00856BCA" w:rsidRPr="004B1084" w:rsidRDefault="00856BCA" w:rsidP="00856BC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4"/>
        <w:gridCol w:w="5297"/>
      </w:tblGrid>
      <w:tr w:rsidR="00856BCA" w:rsidRPr="00021EFB" w14:paraId="581E4305" w14:textId="77777777" w:rsidTr="009D2A9D">
        <w:tc>
          <w:tcPr>
            <w:tcW w:w="4672" w:type="dxa"/>
            <w:vMerge w:val="restart"/>
          </w:tcPr>
          <w:p w14:paraId="5E62D7F2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354DB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B054A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B669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09B68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6C6A4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F3D99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21"/>
            </w:tblGrid>
            <w:tr w:rsidR="00856BCA" w14:paraId="67672957" w14:textId="77777777" w:rsidTr="00700C01">
              <w:trPr>
                <w:jc w:val="center"/>
              </w:trPr>
              <w:tc>
                <w:tcPr>
                  <w:tcW w:w="2263" w:type="dxa"/>
                </w:tcPr>
                <w:p w14:paraId="2321EBFE" w14:textId="4EED0C93" w:rsidR="00856BCA" w:rsidRDefault="00916005" w:rsidP="00700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3B0EADC" wp14:editId="2F7C0BBC">
                        <wp:extent cx="1400175" cy="1847215"/>
                        <wp:effectExtent l="0" t="0" r="0" b="0"/>
                        <wp:docPr id="1" name="Рисунок 1" descr="Буканова Айгуль Сокеев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Буканова Айгуль Сокеев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9247" cy="1938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A9E60A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FC01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27B45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D5CB" w14:textId="22D22A7C" w:rsidR="00C91AF4" w:rsidRPr="00FE3FA8" w:rsidRDefault="00916005" w:rsidP="007A3C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FA8">
              <w:rPr>
                <w:rFonts w:ascii="Times New Roman" w:hAnsi="Times New Roman" w:cs="Times New Roman"/>
                <w:sz w:val="20"/>
                <w:szCs w:val="20"/>
              </w:rPr>
              <w:t>Буканова Айгуль Сокеевна</w:t>
            </w:r>
          </w:p>
          <w:p w14:paraId="3656974A" w14:textId="77777777" w:rsidR="007A3C2E" w:rsidRPr="007A3C2E" w:rsidRDefault="007A3C2E" w:rsidP="007A3C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 w:eastAsia="ru-RU"/>
              </w:rPr>
            </w:pPr>
            <w:r w:rsidRPr="007A3C2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 w:eastAsia="ru-RU"/>
              </w:rPr>
              <w:t>техника ғылымдарының кандидаты, профессор</w:t>
            </w:r>
          </w:p>
          <w:p w14:paraId="32F6C607" w14:textId="77777777" w:rsidR="007A3C2E" w:rsidRPr="007A3C2E" w:rsidRDefault="007A3C2E" w:rsidP="007A3C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 w:eastAsia="ru-RU"/>
              </w:rPr>
            </w:pPr>
            <w:r w:rsidRPr="007A3C2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 w:eastAsia="ru-RU"/>
              </w:rPr>
              <w:t>Байланыс телефондары:</w:t>
            </w:r>
          </w:p>
          <w:p w14:paraId="3EE33B93" w14:textId="4AF66A74" w:rsidR="000B21D9" w:rsidRPr="00FE3FA8" w:rsidRDefault="007A3C2E" w:rsidP="007A3C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3C2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 w:eastAsia="ru-RU"/>
              </w:rPr>
              <w:t>Электрондық поштасы</w:t>
            </w:r>
            <w:r w:rsidR="00916005" w:rsidRPr="00FE3FA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.b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ukanova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aogu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kz</w:t>
              </w:r>
            </w:hyperlink>
            <w:r w:rsidR="00916005" w:rsidRPr="00FE3F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" w:history="1"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bukanova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66@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16005" w:rsidRPr="00FE3FA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7D9D6225" w14:textId="53F463C5" w:rsidR="00856BCA" w:rsidRPr="00FE3FA8" w:rsidRDefault="00856BCA" w:rsidP="000B21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FA8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FE3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E3FA8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FE3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+7-7</w:t>
            </w:r>
            <w:r w:rsidR="00C91AF4" w:rsidRPr="00FE3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FE3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916005" w:rsidRPr="00FE3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3482188</w:t>
            </w:r>
          </w:p>
          <w:p w14:paraId="6C1006A4" w14:textId="77777777" w:rsidR="00F93A3B" w:rsidRPr="00FE3FA8" w:rsidRDefault="00F93A3B" w:rsidP="00F93A3B">
            <w:pPr>
              <w:jc w:val="both"/>
              <w:rPr>
                <w:sz w:val="20"/>
                <w:szCs w:val="20"/>
                <w:lang w:val="en-US"/>
              </w:rPr>
            </w:pPr>
            <w:r w:rsidRPr="00FE3F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ORCID ID – 0000-0002-2307-8463, </w:t>
            </w:r>
            <w:r w:rsidRPr="00FE3FA8">
              <w:rPr>
                <w:rStyle w:val="a6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Researcher ID Web of Science: ENT-1576-2022, </w:t>
            </w:r>
            <w:hyperlink r:id="rId9" w:tgtFrame="externalIdentifier.commonName" w:history="1">
              <w:r w:rsidRPr="00FE3FA8">
                <w:rPr>
                  <w:rStyle w:val="a6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Scopus Author ID: 58041939100</w:t>
              </w:r>
            </w:hyperlink>
          </w:p>
          <w:p w14:paraId="784EE05D" w14:textId="26F928C2" w:rsidR="00F93A3B" w:rsidRPr="00F93A3B" w:rsidRDefault="00F93A3B" w:rsidP="005E18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5D1E8FA6" w14:textId="328CF6DF" w:rsidR="00D7099C" w:rsidRPr="00D7099C" w:rsidRDefault="00D7099C" w:rsidP="00D709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099C">
              <w:rPr>
                <w:rFonts w:ascii="Times New Roman" w:hAnsi="Times New Roman" w:cs="Times New Roman"/>
                <w:b/>
                <w:sz w:val="20"/>
                <w:szCs w:val="20"/>
              </w:rPr>
              <w:t>Білімі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</w:rPr>
              <w:t>ғылыми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</w:rPr>
              <w:t>дәрежесі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B6CF8" w:rsidRPr="00436728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атағы</w:t>
            </w:r>
            <w:r w:rsidRPr="00D709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40E97AF1" w14:textId="4BC759C4" w:rsidR="00856BCA" w:rsidRPr="00D7099C" w:rsidRDefault="00D7099C" w:rsidP="00F93A3B">
            <w:pPr>
              <w:pStyle w:val="Default"/>
              <w:jc w:val="both"/>
              <w:rPr>
                <w:i/>
                <w:sz w:val="20"/>
                <w:szCs w:val="20"/>
                <w:lang w:val="en-US"/>
              </w:rPr>
            </w:pPr>
            <w:r w:rsidRPr="00D7099C">
              <w:rPr>
                <w:bCs/>
                <w:sz w:val="20"/>
                <w:szCs w:val="20"/>
                <w:lang w:val="en-US"/>
              </w:rPr>
              <w:t xml:space="preserve">1988 </w:t>
            </w:r>
            <w:r w:rsidRPr="00D7099C">
              <w:rPr>
                <w:bCs/>
                <w:sz w:val="20"/>
                <w:szCs w:val="20"/>
              </w:rPr>
              <w:t>жылы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Қазан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химия</w:t>
            </w:r>
            <w:r w:rsidRPr="00D7099C">
              <w:rPr>
                <w:bCs/>
                <w:sz w:val="20"/>
                <w:szCs w:val="20"/>
                <w:lang w:val="en-US"/>
              </w:rPr>
              <w:t>-</w:t>
            </w:r>
            <w:r w:rsidRPr="00D7099C">
              <w:rPr>
                <w:bCs/>
                <w:sz w:val="20"/>
                <w:szCs w:val="20"/>
              </w:rPr>
              <w:t>технологиялық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институтын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бітіріп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bCs/>
                <w:sz w:val="20"/>
                <w:szCs w:val="20"/>
              </w:rPr>
              <w:t>Қазақстан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Ғылым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академиясының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Мұнай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және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табиғи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тұздар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химиясы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институтының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D7099C">
              <w:rPr>
                <w:bCs/>
                <w:sz w:val="20"/>
                <w:szCs w:val="20"/>
              </w:rPr>
              <w:t>Гурьев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) </w:t>
            </w:r>
            <w:r w:rsidRPr="00D7099C">
              <w:rPr>
                <w:bCs/>
                <w:sz w:val="20"/>
                <w:szCs w:val="20"/>
              </w:rPr>
              <w:t>мұнай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және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газ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химиясы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зертханасына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аға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лаборант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болып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жұмысқа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қабылданды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. 1991 </w:t>
            </w:r>
            <w:r w:rsidRPr="00D7099C">
              <w:rPr>
                <w:bCs/>
                <w:sz w:val="20"/>
                <w:szCs w:val="20"/>
              </w:rPr>
              <w:t>жылы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ҚазПТИ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Гурьев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филиалының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химия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және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химиялық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технология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кафедрасына</w:t>
            </w:r>
            <w:r w:rsidRPr="00D7099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sz w:val="20"/>
                <w:szCs w:val="20"/>
              </w:rPr>
              <w:t>ауысты</w:t>
            </w:r>
            <w:r w:rsidRPr="00D7099C">
              <w:rPr>
                <w:bCs/>
                <w:sz w:val="20"/>
                <w:szCs w:val="20"/>
                <w:lang w:val="en-US"/>
              </w:rPr>
              <w:t>.</w:t>
            </w:r>
            <w:r w:rsidRPr="00D709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1991-2011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жылдар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аралығында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Атырау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мұнай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және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газ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институтында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стажер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-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оқытушыдан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профессор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және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бірінші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проректордың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ассистенті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дәрежесіне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дейін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көтерілді</w:t>
            </w:r>
            <w:r w:rsidRPr="00D7099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. </w:t>
            </w:r>
            <w:r w:rsidRPr="00D7099C">
              <w:rPr>
                <w:sz w:val="20"/>
                <w:szCs w:val="20"/>
                <w:lang w:val="en-US"/>
              </w:rPr>
              <w:t xml:space="preserve">2006 </w:t>
            </w:r>
            <w:r w:rsidRPr="00D7099C">
              <w:rPr>
                <w:sz w:val="20"/>
                <w:szCs w:val="20"/>
              </w:rPr>
              <w:t>жылдың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наурыз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айында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Атырау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мұнай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және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газ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институтында</w:t>
            </w:r>
            <w:r w:rsidRPr="00D7099C">
              <w:rPr>
                <w:sz w:val="20"/>
                <w:szCs w:val="20"/>
                <w:lang w:val="en-US"/>
              </w:rPr>
              <w:t xml:space="preserve"> D 14.50.03 </w:t>
            </w:r>
            <w:r w:rsidRPr="00D7099C">
              <w:rPr>
                <w:sz w:val="20"/>
                <w:szCs w:val="20"/>
              </w:rPr>
              <w:t>диссертациялық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кеңесінде</w:t>
            </w:r>
            <w:r w:rsidRPr="00D7099C">
              <w:rPr>
                <w:sz w:val="20"/>
                <w:szCs w:val="20"/>
                <w:lang w:val="en-US"/>
              </w:rPr>
              <w:t xml:space="preserve"> «</w:t>
            </w:r>
            <w:r w:rsidRPr="00D7099C">
              <w:rPr>
                <w:sz w:val="20"/>
                <w:szCs w:val="20"/>
              </w:rPr>
              <w:t>Атырау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мұнай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өңдеу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зауытында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минералды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мұнай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өндіру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перспективалары</w:t>
            </w:r>
            <w:r w:rsidRPr="00D7099C">
              <w:rPr>
                <w:sz w:val="20"/>
                <w:szCs w:val="20"/>
                <w:lang w:val="en-US"/>
              </w:rPr>
              <w:t xml:space="preserve">» </w:t>
            </w:r>
            <w:r w:rsidRPr="00D7099C">
              <w:rPr>
                <w:sz w:val="20"/>
                <w:szCs w:val="20"/>
              </w:rPr>
              <w:t>тақырыбында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кандидаттық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диссертация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қорғады</w:t>
            </w:r>
            <w:r w:rsidRPr="00D7099C">
              <w:rPr>
                <w:sz w:val="20"/>
                <w:szCs w:val="20"/>
                <w:lang w:val="en-US"/>
              </w:rPr>
              <w:t xml:space="preserve">. 2010 </w:t>
            </w:r>
            <w:r w:rsidRPr="00D7099C">
              <w:rPr>
                <w:sz w:val="20"/>
                <w:szCs w:val="20"/>
              </w:rPr>
              <w:t>жылғы</w:t>
            </w:r>
            <w:r w:rsidRPr="00D7099C">
              <w:rPr>
                <w:sz w:val="20"/>
                <w:szCs w:val="20"/>
                <w:lang w:val="en-US"/>
              </w:rPr>
              <w:t xml:space="preserve"> 24 </w:t>
            </w:r>
            <w:r w:rsidRPr="00D7099C">
              <w:rPr>
                <w:sz w:val="20"/>
                <w:szCs w:val="20"/>
              </w:rPr>
              <w:t>ақпанда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Қазақстан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Республикасы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Бақылау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және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ақпараттық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жүйелер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комитетінің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бұйрығымен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доцент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ғылыми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атағы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бекітілді</w:t>
            </w:r>
            <w:r w:rsidRPr="00D7099C">
              <w:rPr>
                <w:sz w:val="20"/>
                <w:szCs w:val="20"/>
                <w:lang w:val="en-US"/>
              </w:rPr>
              <w:t xml:space="preserve">. 2011 </w:t>
            </w:r>
            <w:r w:rsidRPr="00D7099C">
              <w:rPr>
                <w:sz w:val="20"/>
                <w:szCs w:val="20"/>
              </w:rPr>
              <w:t>жылдың</w:t>
            </w:r>
            <w:r w:rsidRPr="00D7099C">
              <w:rPr>
                <w:sz w:val="20"/>
                <w:szCs w:val="20"/>
                <w:lang w:val="en-US"/>
              </w:rPr>
              <w:t xml:space="preserve"> 26 ​​</w:t>
            </w:r>
            <w:r w:rsidRPr="00D7099C">
              <w:rPr>
                <w:sz w:val="20"/>
                <w:szCs w:val="20"/>
              </w:rPr>
              <w:t>қаңтарында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Ғылыми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кеңестің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шешімімен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АИНГ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профессоры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ғылыми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атағы</w:t>
            </w:r>
            <w:r w:rsidRPr="00D7099C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берілді</w:t>
            </w:r>
            <w:r w:rsidRPr="00D7099C">
              <w:rPr>
                <w:sz w:val="20"/>
                <w:szCs w:val="20"/>
                <w:lang w:val="en-US"/>
              </w:rPr>
              <w:t>.</w:t>
            </w:r>
          </w:p>
        </w:tc>
      </w:tr>
      <w:tr w:rsidR="00856BCA" w:rsidRPr="00021EFB" w14:paraId="4D302951" w14:textId="77777777" w:rsidTr="009D2A9D">
        <w:tc>
          <w:tcPr>
            <w:tcW w:w="4672" w:type="dxa"/>
            <w:vMerge/>
          </w:tcPr>
          <w:p w14:paraId="1BFDFDFF" w14:textId="77777777" w:rsidR="00856BCA" w:rsidRPr="00D7099C" w:rsidRDefault="00856BCA" w:rsidP="009D2A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7A05D7AE" w14:textId="74E3FF97" w:rsidR="00856BCA" w:rsidRPr="005B6CF8" w:rsidRDefault="005B6CF8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Ғылыми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қызығушылықтары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мұнай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газ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өңдеу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мұнай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химиясы</w:t>
            </w:r>
          </w:p>
        </w:tc>
      </w:tr>
      <w:tr w:rsidR="00856BCA" w:rsidRPr="00021EFB" w14:paraId="757952E3" w14:textId="77777777" w:rsidTr="009D2A9D">
        <w:tc>
          <w:tcPr>
            <w:tcW w:w="4672" w:type="dxa"/>
            <w:vMerge/>
          </w:tcPr>
          <w:p w14:paraId="4BADF30C" w14:textId="77777777" w:rsidR="00856BCA" w:rsidRPr="005B6CF8" w:rsidRDefault="00856BCA" w:rsidP="009D2A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5642828F" w14:textId="77777777" w:rsidR="005B6CF8" w:rsidRPr="005B6CF8" w:rsidRDefault="005B6CF8" w:rsidP="005B6C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Қолданбалы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ғылыми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бағдарламаларға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арналған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ғылыми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гранттар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0979A4A" w14:textId="77777777" w:rsidR="005B6CF8" w:rsidRPr="005B6CF8" w:rsidRDefault="005B6CF8" w:rsidP="005B6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1) AP26104697 «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Су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ауылшаруашылық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қалдықтарын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пайдалана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отырып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полипропилен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негізіндегі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тағамдық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орауыш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материалдарын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зерттеу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әзірлеу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».</w:t>
            </w:r>
          </w:p>
          <w:p w14:paraId="6E8106D9" w14:textId="77777777" w:rsidR="005B6CF8" w:rsidRPr="00021EFB" w:rsidRDefault="005B6CF8" w:rsidP="005B6CF8">
            <w:pPr>
              <w:pStyle w:val="a7"/>
              <w:rPr>
                <w:rFonts w:cs="Times New Roman"/>
                <w:bCs/>
                <w:szCs w:val="20"/>
                <w:lang w:val="en-US"/>
              </w:rPr>
            </w:pPr>
            <w:r w:rsidRPr="00021EFB">
              <w:rPr>
                <w:rFonts w:cs="Times New Roman"/>
                <w:bCs/>
                <w:szCs w:val="20"/>
                <w:lang w:val="en-US"/>
              </w:rPr>
              <w:t>(2025–2027)</w:t>
            </w:r>
          </w:p>
          <w:p w14:paraId="7692B6BC" w14:textId="3D5A8282" w:rsidR="003F7FBD" w:rsidRPr="00021EFB" w:rsidRDefault="00110F59" w:rsidP="005B6CF8">
            <w:pPr>
              <w:pStyle w:val="a7"/>
              <w:rPr>
                <w:rFonts w:cs="Times New Roman"/>
                <w:szCs w:val="20"/>
                <w:lang w:val="en-US"/>
              </w:rPr>
            </w:pPr>
            <w:r w:rsidRPr="00021EFB">
              <w:rPr>
                <w:rFonts w:cs="Times New Roman"/>
                <w:szCs w:val="20"/>
                <w:lang w:val="en-US"/>
              </w:rPr>
              <w:t xml:space="preserve">2) </w:t>
            </w:r>
            <w:r w:rsidR="005B6CF8" w:rsidRPr="00021EFB">
              <w:rPr>
                <w:rFonts w:cs="Times New Roman"/>
                <w:szCs w:val="20"/>
                <w:lang w:val="en-US"/>
              </w:rPr>
              <w:t>AR26100713 «</w:t>
            </w:r>
            <w:r w:rsidR="005B6CF8" w:rsidRPr="005B6CF8">
              <w:rPr>
                <w:rFonts w:cs="Times New Roman"/>
                <w:szCs w:val="20"/>
              </w:rPr>
              <w:t>Қоршаған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орта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мен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инфрақұрылым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мәселелерін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шешу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үшін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қайта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өңделген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полимерлер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мен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лигнинді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пайдалана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отырып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, </w:t>
            </w:r>
            <w:r w:rsidR="005B6CF8" w:rsidRPr="005B6CF8">
              <w:rPr>
                <w:rFonts w:cs="Times New Roman"/>
                <w:szCs w:val="20"/>
              </w:rPr>
              <w:t>тұрақты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асфальтбетон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жабындарын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жасау</w:t>
            </w:r>
            <w:r w:rsidR="005B6CF8" w:rsidRPr="00021EFB">
              <w:rPr>
                <w:rFonts w:cs="Times New Roman"/>
                <w:szCs w:val="20"/>
                <w:lang w:val="en-US"/>
              </w:rPr>
              <w:t xml:space="preserve"> </w:t>
            </w:r>
            <w:r w:rsidR="005B6CF8" w:rsidRPr="005B6CF8">
              <w:rPr>
                <w:rFonts w:cs="Times New Roman"/>
                <w:szCs w:val="20"/>
              </w:rPr>
              <w:t>негіздері</w:t>
            </w:r>
            <w:r w:rsidR="005B6CF8" w:rsidRPr="00021EFB">
              <w:rPr>
                <w:rFonts w:cs="Times New Roman"/>
                <w:szCs w:val="20"/>
                <w:lang w:val="en-US"/>
              </w:rPr>
              <w:t>».</w:t>
            </w:r>
          </w:p>
        </w:tc>
      </w:tr>
      <w:tr w:rsidR="00BD4581" w:rsidRPr="00021EFB" w14:paraId="0B0C1A58" w14:textId="77777777" w:rsidTr="00BD4581">
        <w:trPr>
          <w:trHeight w:val="2415"/>
        </w:trPr>
        <w:tc>
          <w:tcPr>
            <w:tcW w:w="4672" w:type="dxa"/>
            <w:vMerge w:val="restart"/>
          </w:tcPr>
          <w:p w14:paraId="09375C2A" w14:textId="77777777" w:rsidR="007A3C2E" w:rsidRPr="00021EFB" w:rsidRDefault="007A3C2E" w:rsidP="007A3C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A3C2E">
              <w:rPr>
                <w:rFonts w:ascii="Times New Roman" w:hAnsi="Times New Roman" w:cs="Times New Roman"/>
                <w:b/>
                <w:sz w:val="20"/>
                <w:szCs w:val="20"/>
              </w:rPr>
              <w:t>Еңбек</w:t>
            </w: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/>
                <w:sz w:val="20"/>
                <w:szCs w:val="20"/>
              </w:rPr>
              <w:t>өтілі</w:t>
            </w: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37 </w:t>
            </w:r>
            <w:r w:rsidRPr="007A3C2E">
              <w:rPr>
                <w:rFonts w:ascii="Times New Roman" w:hAnsi="Times New Roman" w:cs="Times New Roman"/>
                <w:b/>
                <w:sz w:val="20"/>
                <w:szCs w:val="20"/>
              </w:rPr>
              <w:t>жыл</w:t>
            </w: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BD768DD" w14:textId="77777777" w:rsidR="007A3C2E" w:rsidRPr="00021EFB" w:rsidRDefault="007A3C2E" w:rsidP="007A3C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2011-2016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жылдар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аралығында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Атырау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газ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институтында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химиялық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кафедрасының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меңгерушісі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қызметін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атқарды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14:paraId="3D7C43F0" w14:textId="77777777" w:rsidR="007A3C2E" w:rsidRPr="00021EFB" w:rsidRDefault="007A3C2E" w:rsidP="007A3C2E">
            <w:pPr>
              <w:tabs>
                <w:tab w:val="left" w:pos="3710"/>
              </w:tabs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2016-2017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жылдары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«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Қаспиймұнайгаз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»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ҒЗИ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»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АҚ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технологиялық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бөлімінің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жетекші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инженері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қызметін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bCs/>
                <w:sz w:val="20"/>
                <w:szCs w:val="20"/>
              </w:rPr>
              <w:t>атқарды</w:t>
            </w: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</w:p>
          <w:p w14:paraId="55900E2E" w14:textId="59661D3B" w:rsidR="007A3C2E" w:rsidRPr="00021EFB" w:rsidRDefault="007A3C2E" w:rsidP="007A3C2E">
            <w:pPr>
              <w:tabs>
                <w:tab w:val="left" w:pos="3710"/>
              </w:tabs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Халел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Досмұхамедов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Атырау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университетінің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ректорының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шақыруымен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2017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жылдан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жылдың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айына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дейін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химиялық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инженерия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кафедрасының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меңгерушісі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атқарды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D1957BB" w14:textId="77777777" w:rsidR="007A3C2E" w:rsidRPr="00021EFB" w:rsidRDefault="007A3C2E" w:rsidP="007A3C2E">
            <w:pPr>
              <w:tabs>
                <w:tab w:val="left" w:pos="3710"/>
              </w:tabs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Сафи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Өтебаев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Атырау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университетінің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ректорының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шақыруымен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жылдың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қаңтарынан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жылдың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қыркүйегіне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дейін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химиялық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инженерия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кафедрасының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меңгерушісі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3C2E">
              <w:rPr>
                <w:rFonts w:ascii="Times New Roman" w:hAnsi="Times New Roman" w:cs="Times New Roman"/>
                <w:sz w:val="20"/>
                <w:szCs w:val="20"/>
              </w:rPr>
              <w:t>атқарды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FD4DDEC" w14:textId="77777777" w:rsidR="00D7099C" w:rsidRPr="00021EFB" w:rsidRDefault="00D7099C" w:rsidP="00D7099C">
            <w:pPr>
              <w:tabs>
                <w:tab w:val="left" w:pos="3710"/>
              </w:tabs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жылдың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қыркүйегінен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2022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жылдың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маусымына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дейін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Нәдіров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инженериясы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институты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5155E8F" w14:textId="77777777" w:rsidR="00D7099C" w:rsidRPr="00021EFB" w:rsidRDefault="00D7099C" w:rsidP="00D7099C">
            <w:pPr>
              <w:tabs>
                <w:tab w:val="left" w:pos="3710"/>
              </w:tabs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жылдың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қыркүйегінен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бастап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Сафи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Өтебаев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Атырау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Өнеркәсіптік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комитетінің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жетекші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сарапшысы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атқарды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D0D354A" w14:textId="77777777" w:rsidR="00D7099C" w:rsidRPr="00021EFB" w:rsidRDefault="00D7099C" w:rsidP="00FE3FA8">
            <w:pPr>
              <w:tabs>
                <w:tab w:val="left" w:pos="3710"/>
              </w:tabs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жылдан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бастап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«ANPZ»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жауапкершілігі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серіктестігінің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үш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келісімшарттық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тәжірибелік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конструкторлық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жобаларын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басқарды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зертханасында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жабдықтарды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сертификаттарға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газды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өңдеудің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химиялық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мамандығы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магистрантқа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1994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жылдан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бастап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астам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маманға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жетекшілік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етті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ХТУ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ХТНГ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ХТОВ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мамандықтары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астам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мамандар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ХТУ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ХТНГ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ХТОВ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мамандықтары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инженерлік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технологиялық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бакалаврлар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оқытушылар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6185F82" w14:textId="77777777" w:rsidR="00D7099C" w:rsidRPr="00021EFB" w:rsidRDefault="00D7099C" w:rsidP="00D7099C">
            <w:pPr>
              <w:tabs>
                <w:tab w:val="left" w:pos="3710"/>
              </w:tabs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жетекшілік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еткен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кандидаттық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диссертацияны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Қайрлиева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ғылымдарының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кандидаты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2010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жылдың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мамыры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014E362" w14:textId="77777777" w:rsidR="00D7099C" w:rsidRPr="00021EFB" w:rsidRDefault="00D7099C" w:rsidP="00D7099C">
            <w:pPr>
              <w:tabs>
                <w:tab w:val="left" w:pos="3710"/>
              </w:tabs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АОГУ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өнеркәсіптік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комитетінің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сарапшысы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6FF5DE54" w14:textId="77777777" w:rsidR="00D7099C" w:rsidRPr="00021EFB" w:rsidRDefault="00D7099C" w:rsidP="00D7099C">
            <w:pPr>
              <w:pStyle w:val="aa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en-US"/>
              </w:rPr>
            </w:pPr>
            <w:r w:rsidRPr="00021EFB">
              <w:rPr>
                <w:sz w:val="20"/>
                <w:szCs w:val="20"/>
                <w:lang w:val="en-US"/>
              </w:rPr>
              <w:t xml:space="preserve">- </w:t>
            </w:r>
            <w:r w:rsidRPr="00D7099C">
              <w:rPr>
                <w:sz w:val="20"/>
                <w:szCs w:val="20"/>
              </w:rPr>
              <w:t>бекітілген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жобалар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бойынша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жүйелі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жұмыс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жүргізілетін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заңды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тұлға</w:t>
            </w:r>
            <w:r w:rsidRPr="00021EFB">
              <w:rPr>
                <w:sz w:val="20"/>
                <w:szCs w:val="20"/>
                <w:lang w:val="en-US"/>
              </w:rPr>
              <w:t xml:space="preserve">, </w:t>
            </w:r>
            <w:r w:rsidRPr="00D7099C">
              <w:rPr>
                <w:sz w:val="20"/>
                <w:szCs w:val="20"/>
              </w:rPr>
              <w:t>мұнай</w:t>
            </w:r>
            <w:r w:rsidRPr="00021EFB">
              <w:rPr>
                <w:sz w:val="20"/>
                <w:szCs w:val="20"/>
                <w:lang w:val="en-US"/>
              </w:rPr>
              <w:t>-</w:t>
            </w:r>
            <w:r w:rsidRPr="00D7099C">
              <w:rPr>
                <w:sz w:val="20"/>
                <w:szCs w:val="20"/>
              </w:rPr>
              <w:t>химия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өнімдерін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өндірушілер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мен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тұтынушылар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қауымдастығының</w:t>
            </w:r>
            <w:r w:rsidRPr="00021EFB">
              <w:rPr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</w:rPr>
              <w:t>мүшесі</w:t>
            </w:r>
            <w:r w:rsidRPr="00021EFB">
              <w:rPr>
                <w:sz w:val="20"/>
                <w:szCs w:val="20"/>
                <w:lang w:val="en-US"/>
              </w:rPr>
              <w:t>;</w:t>
            </w:r>
          </w:p>
          <w:p w14:paraId="73EE75EC" w14:textId="77777777" w:rsidR="00D7099C" w:rsidRPr="00021EFB" w:rsidRDefault="00D7099C" w:rsidP="00D7099C">
            <w:pPr>
              <w:pStyle w:val="aa"/>
              <w:spacing w:before="0" w:beforeAutospacing="0" w:after="0" w:afterAutospacing="0"/>
              <w:ind w:firstLine="142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- </w:t>
            </w:r>
            <w:r w:rsidRPr="00D7099C">
              <w:rPr>
                <w:bCs/>
                <w:color w:val="000000"/>
                <w:sz w:val="20"/>
                <w:szCs w:val="20"/>
              </w:rPr>
              <w:t>Қазақстан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Республикасы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Энергетика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министрлігінің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тапсырмасы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бойынша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мұнай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D7099C">
              <w:rPr>
                <w:bCs/>
                <w:color w:val="000000"/>
                <w:sz w:val="20"/>
                <w:szCs w:val="20"/>
              </w:rPr>
              <w:t>химия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өнеркәсібінің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салалық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біліктілік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негіздерін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және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кәсіби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стандарттарын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әзірлеу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жөніндегі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Мұнай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өңдеу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және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мұнай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D7099C">
              <w:rPr>
                <w:bCs/>
                <w:color w:val="000000"/>
                <w:sz w:val="20"/>
                <w:szCs w:val="20"/>
              </w:rPr>
              <w:t>химия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салалық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кеңесінің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мүшесі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>;</w:t>
            </w:r>
          </w:p>
          <w:p w14:paraId="46E6A44F" w14:textId="77777777" w:rsidR="00D7099C" w:rsidRPr="00021EFB" w:rsidRDefault="00D7099C" w:rsidP="00D7099C">
            <w:pPr>
              <w:pStyle w:val="aa"/>
              <w:spacing w:before="0" w:beforeAutospacing="0" w:after="0" w:afterAutospacing="0"/>
              <w:ind w:firstLine="142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- </w:t>
            </w:r>
            <w:r w:rsidRPr="00D7099C">
              <w:rPr>
                <w:bCs/>
                <w:color w:val="000000"/>
                <w:sz w:val="20"/>
                <w:szCs w:val="20"/>
              </w:rPr>
              <w:t>ЕҚДБ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Pr="00D7099C">
              <w:rPr>
                <w:bCs/>
                <w:color w:val="000000"/>
                <w:sz w:val="20"/>
                <w:szCs w:val="20"/>
              </w:rPr>
              <w:t>Еуропа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Қайта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Құру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және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Даму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Банкі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) </w:t>
            </w:r>
            <w:r w:rsidRPr="00D7099C">
              <w:rPr>
                <w:bCs/>
                <w:color w:val="000000"/>
                <w:sz w:val="20"/>
                <w:szCs w:val="20"/>
              </w:rPr>
              <w:t>көмегімен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Атырау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мұнай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өңдеу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зауыты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және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қара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мұнай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газы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(AONG) </w:t>
            </w:r>
            <w:r w:rsidRPr="00D7099C">
              <w:rPr>
                <w:bCs/>
                <w:color w:val="000000"/>
                <w:sz w:val="20"/>
                <w:szCs w:val="20"/>
              </w:rPr>
              <w:t>жобасының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шеңберінде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«</w:t>
            </w:r>
            <w:r w:rsidRPr="00D7099C">
              <w:rPr>
                <w:bCs/>
                <w:color w:val="000000"/>
                <w:sz w:val="20"/>
                <w:szCs w:val="20"/>
              </w:rPr>
              <w:t>Жетілдірілген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химия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инженериясы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» </w:t>
            </w:r>
            <w:r w:rsidRPr="00D7099C">
              <w:rPr>
                <w:bCs/>
                <w:color w:val="000000"/>
                <w:sz w:val="20"/>
                <w:szCs w:val="20"/>
              </w:rPr>
              <w:t>курсын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іске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асыру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бойынша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бірлескен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жұмыстың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сарапшысы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7099C">
              <w:rPr>
                <w:bCs/>
                <w:color w:val="000000"/>
                <w:sz w:val="20"/>
                <w:szCs w:val="20"/>
              </w:rPr>
              <w:t>ретінде</w:t>
            </w:r>
            <w:r w:rsidRPr="00021EFB">
              <w:rPr>
                <w:bCs/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12409400" w14:textId="41431E1A" w:rsidR="00D7099C" w:rsidRPr="00021EFB" w:rsidRDefault="00D7099C" w:rsidP="00D7099C">
            <w:pPr>
              <w:pStyle w:val="aa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21EFB">
              <w:rPr>
                <w:sz w:val="20"/>
                <w:szCs w:val="20"/>
                <w:shd w:val="clear" w:color="auto" w:fill="FFFFFF"/>
                <w:lang w:val="en-US"/>
              </w:rPr>
              <w:t xml:space="preserve">- NCOC </w:t>
            </w:r>
            <w:r w:rsidRPr="00D7099C">
              <w:rPr>
                <w:sz w:val="20"/>
                <w:szCs w:val="20"/>
                <w:shd w:val="clear" w:color="auto" w:fill="FFFFFF"/>
              </w:rPr>
              <w:t>Сыртқы</w:t>
            </w:r>
            <w:r w:rsidRPr="00021EF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  <w:shd w:val="clear" w:color="auto" w:fill="FFFFFF"/>
              </w:rPr>
              <w:t>сарапшылық</w:t>
            </w:r>
            <w:r w:rsidRPr="00021EF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  <w:shd w:val="clear" w:color="auto" w:fill="FFFFFF"/>
              </w:rPr>
              <w:t>кеңесінің</w:t>
            </w:r>
            <w:r w:rsidRPr="00021EF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  <w:shd w:val="clear" w:color="auto" w:fill="FFFFFF"/>
              </w:rPr>
              <w:t>сарапшысы</w:t>
            </w:r>
            <w:r w:rsidRPr="00021EF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sz w:val="20"/>
                <w:szCs w:val="20"/>
                <w:shd w:val="clear" w:color="auto" w:fill="FFFFFF"/>
              </w:rPr>
              <w:t>ретінде</w:t>
            </w:r>
            <w:r w:rsidRPr="00021EFB">
              <w:rPr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14:paraId="2AEC1093" w14:textId="527A84BD" w:rsidR="00BD4581" w:rsidRPr="00021EFB" w:rsidRDefault="00D7099C" w:rsidP="00D709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- «ANPZ» </w:t>
            </w:r>
            <w:r w:rsidRPr="00D70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ЖШС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Сыртқы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экологиялық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кеңесінің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сарапшысы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ретінде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673" w:type="dxa"/>
          </w:tcPr>
          <w:p w14:paraId="3D4494C5" w14:textId="6D437969" w:rsidR="00BD4581" w:rsidRPr="00021EFB" w:rsidRDefault="005B6CF8" w:rsidP="00BD45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Оқытатын</w:t>
            </w: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/>
                <w:sz w:val="20"/>
                <w:szCs w:val="20"/>
              </w:rPr>
              <w:t>пәндері</w:t>
            </w: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«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Мұнайды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озық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өңдеудің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озық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технологиялары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», «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Негізгі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органикалық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мұнай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химиялық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синтездің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арнайы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технологиясы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», «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Мұнайды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бастапқы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өңдеу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технологиясы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», «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Жалпы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химиялық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химиялық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bCs/>
                <w:sz w:val="20"/>
                <w:szCs w:val="20"/>
              </w:rPr>
              <w:t>реакторлар</w:t>
            </w:r>
            <w:r w:rsidRPr="00021E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», 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Полимер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», «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Термокаталитикалық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гидрлеу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процестерінің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», «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Синтетикалық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каучук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өндірісінің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B6CF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21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56BCA" w:rsidRPr="0032548C" w14:paraId="49BC7172" w14:textId="77777777" w:rsidTr="009F208C">
        <w:trPr>
          <w:trHeight w:val="2257"/>
        </w:trPr>
        <w:tc>
          <w:tcPr>
            <w:tcW w:w="4672" w:type="dxa"/>
            <w:vMerge/>
          </w:tcPr>
          <w:p w14:paraId="6A5B4E19" w14:textId="77777777" w:rsidR="00856BCA" w:rsidRPr="00021EFB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250A18B5" w14:textId="77777777" w:rsidR="00021EFB" w:rsidRPr="00021EFB" w:rsidRDefault="00021EFB" w:rsidP="00021E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Жарияланымдар:</w:t>
            </w:r>
          </w:p>
          <w:p w14:paraId="0F628FE1" w14:textId="619071D0" w:rsidR="00021EFB" w:rsidRPr="00021EFB" w:rsidRDefault="00021EFB" w:rsidP="00021E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Жарияланымдар тізімінде 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021E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-дан астам жарияланымдар бар.</w:t>
            </w:r>
          </w:p>
          <w:p w14:paraId="71FC7852" w14:textId="77777777" w:rsidR="00021EFB" w:rsidRDefault="00021EFB" w:rsidP="00021EFB">
            <w:pPr>
              <w:pStyle w:val="a7"/>
              <w:tabs>
                <w:tab w:val="left" w:pos="226"/>
                <w:tab w:val="left" w:pos="436"/>
              </w:tabs>
              <w:rPr>
                <w:rFonts w:cs="Times New Roman"/>
                <w:b/>
                <w:szCs w:val="20"/>
                <w:lang w:val="kk-KZ"/>
              </w:rPr>
            </w:pPr>
            <w:r w:rsidRPr="00021EFB">
              <w:rPr>
                <w:rFonts w:cs="Times New Roman"/>
                <w:b/>
                <w:szCs w:val="20"/>
                <w:lang w:val="kk-KZ"/>
              </w:rPr>
              <w:t>Соңғы 5 жылда 39 жарияланым:</w:t>
            </w:r>
          </w:p>
          <w:p w14:paraId="4D8454A6" w14:textId="7284D8AF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lang w:val="en-US"/>
              </w:rPr>
            </w:pPr>
            <w:r w:rsidRPr="000169DA">
              <w:rPr>
                <w:rFonts w:cs="Times New Roman"/>
                <w:szCs w:val="20"/>
                <w:lang w:val="kk-KZ"/>
              </w:rPr>
              <w:t xml:space="preserve">Bukanova А.С., Kairlieva F.B.,Sakipova L.B., Bukanova </w:t>
            </w:r>
            <w:r w:rsidRPr="000169DA">
              <w:rPr>
                <w:rFonts w:cs="Times New Roman"/>
                <w:szCs w:val="20"/>
                <w:lang w:val="en-US"/>
              </w:rPr>
              <w:t>S.K.</w:t>
            </w:r>
            <w:r w:rsidRPr="000169DA">
              <w:rPr>
                <w:rFonts w:cs="Times New Roman"/>
                <w:szCs w:val="20"/>
                <w:lang w:val="kk-KZ"/>
              </w:rPr>
              <w:t>,Karabasova N.A.,Nasirov R.N</w:t>
            </w:r>
            <w:r w:rsidRPr="000169DA">
              <w:rPr>
                <w:rFonts w:cs="Times New Roman"/>
                <w:szCs w:val="20"/>
                <w:lang w:val="en-US"/>
              </w:rPr>
              <w:t xml:space="preserve"> Establishment of oil dispersed systems by the paramagnetic probe and free radicals. News of the national academy of sciences of the republic of Kazakhstan. Series of chemistry and technology</w:t>
            </w:r>
            <w:r w:rsidRPr="000169DA">
              <w:rPr>
                <w:rFonts w:cs="Times New Roman"/>
                <w:szCs w:val="20"/>
                <w:lang w:val="kk-KZ"/>
              </w:rPr>
              <w:t>.</w:t>
            </w:r>
            <w:r w:rsidRPr="000169DA">
              <w:rPr>
                <w:rFonts w:cs="Times New Roman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</w:rPr>
              <w:t xml:space="preserve">2019. </w:t>
            </w:r>
            <w:r w:rsidRPr="000169DA">
              <w:rPr>
                <w:rFonts w:cs="Times New Roman"/>
                <w:szCs w:val="20"/>
                <w:lang w:val="en-US"/>
              </w:rPr>
              <w:t>№4</w:t>
            </w:r>
            <w:r w:rsidRPr="000169DA">
              <w:rPr>
                <w:rFonts w:cs="Times New Roman"/>
                <w:szCs w:val="20"/>
              </w:rPr>
              <w:t xml:space="preserve"> (436)</w:t>
            </w:r>
            <w:r w:rsidRPr="000169DA">
              <w:rPr>
                <w:rFonts w:cs="Times New Roman"/>
                <w:szCs w:val="20"/>
                <w:lang w:val="en-US"/>
              </w:rPr>
              <w:t>.</w:t>
            </w:r>
            <w:r w:rsidRPr="000169DA">
              <w:rPr>
                <w:rFonts w:cs="Times New Roman"/>
                <w:szCs w:val="20"/>
              </w:rPr>
              <w:t xml:space="preserve"> С</w:t>
            </w:r>
            <w:r w:rsidRPr="000169DA">
              <w:rPr>
                <w:rFonts w:cs="Times New Roman"/>
                <w:szCs w:val="20"/>
                <w:lang w:val="en-US"/>
              </w:rPr>
              <w:t>.32-45.</w:t>
            </w:r>
          </w:p>
          <w:p w14:paraId="68B03FDD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lang w:val="kk-KZ"/>
              </w:rPr>
            </w:pPr>
            <w:r w:rsidRPr="000169DA">
              <w:rPr>
                <w:rFonts w:cs="Times New Roman"/>
                <w:szCs w:val="20"/>
                <w:lang w:val="kk-KZ"/>
              </w:rPr>
              <w:t xml:space="preserve">Буканова А.С., Ашыгалиева Г.Г.,Дюйсенгул Б.Р. </w:t>
            </w:r>
            <w:r w:rsidRPr="000169DA">
              <w:rPr>
                <w:rFonts w:cs="Times New Roman"/>
                <w:szCs w:val="20"/>
              </w:rPr>
              <w:t xml:space="preserve">Перспективы применения ароматических углеводородов Атырауского НПЗ. </w:t>
            </w:r>
            <w:r w:rsidRPr="000169DA">
              <w:rPr>
                <w:rFonts w:eastAsia="Times New Roman" w:cs="Times New Roman"/>
                <w:szCs w:val="20"/>
                <w:lang w:val="en-US"/>
              </w:rPr>
              <w:t>ISSN</w:t>
            </w:r>
            <w:r w:rsidRPr="000169DA">
              <w:rPr>
                <w:rFonts w:cs="Times New Roman"/>
                <w:szCs w:val="20"/>
              </w:rPr>
              <w:t xml:space="preserve"> 2306-8167 Вестник Таразского государственного педагогического университета.№3(39), 2019, С.43-47</w:t>
            </w:r>
          </w:p>
          <w:p w14:paraId="4C8F0023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lang w:val="kk-KZ"/>
              </w:rPr>
            </w:pPr>
            <w:r w:rsidRPr="000169DA">
              <w:rPr>
                <w:rFonts w:cs="Times New Roman"/>
                <w:szCs w:val="20"/>
                <w:lang w:val="kk-KZ"/>
              </w:rPr>
              <w:t xml:space="preserve">Буканова А.С., Калимукашева А.Д., Тенильбаева </w:t>
            </w:r>
            <w:r w:rsidRPr="000169DA">
              <w:rPr>
                <w:rFonts w:cs="Times New Roman"/>
                <w:szCs w:val="20"/>
                <w:lang w:val="kk-KZ"/>
              </w:rPr>
              <w:lastRenderedPageBreak/>
              <w:t>Г.Б</w:t>
            </w:r>
            <w:r w:rsidRPr="000169DA"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  <w:r w:rsidRPr="000169DA">
              <w:rPr>
                <w:rFonts w:cs="Times New Roman"/>
                <w:szCs w:val="20"/>
              </w:rPr>
              <w:t xml:space="preserve">Критериальное оценивание и ее применение на уроках химии. </w:t>
            </w:r>
            <w:r w:rsidRPr="000169DA">
              <w:rPr>
                <w:rFonts w:eastAsia="Times New Roman" w:cs="Times New Roman"/>
                <w:szCs w:val="20"/>
                <w:lang w:val="en-US"/>
              </w:rPr>
              <w:t>ISSN</w:t>
            </w:r>
            <w:r w:rsidRPr="000169DA">
              <w:rPr>
                <w:rFonts w:eastAsia="Times New Roman" w:cs="Times New Roman"/>
                <w:szCs w:val="20"/>
              </w:rPr>
              <w:t xml:space="preserve"> 1560-1749 Высшая школа Казахстана. Международное научно-педагогическое издание, №2, 2019, С.225-229</w:t>
            </w:r>
          </w:p>
          <w:p w14:paraId="25052C69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Fonts w:cs="Times New Roman"/>
                <w:szCs w:val="20"/>
              </w:rPr>
              <w:t xml:space="preserve">Буканова А.С., Л.Б. Сакипова, В.А. Султангалиева Комбинированная схема переработки нефти месторождения Бозоба с получением базовых масел. «Наследие ученого и педагога», I Международные научные Сериковские чтения, посвященные памяти доктора химических наук, профессора, академика Международной инженерной академии и Национальной инженерной академии Республики Казахстан Т.П. Серикова, г. Атырау, 2020г. </w:t>
            </w:r>
            <w:r w:rsidRPr="000169DA">
              <w:rPr>
                <w:rFonts w:cs="Times New Roman"/>
                <w:szCs w:val="20"/>
                <w:lang w:val="en-US"/>
              </w:rPr>
              <w:t>C</w:t>
            </w:r>
            <w:r w:rsidRPr="000169DA">
              <w:rPr>
                <w:rFonts w:cs="Times New Roman"/>
                <w:szCs w:val="20"/>
              </w:rPr>
              <w:t>. 34-39</w:t>
            </w:r>
          </w:p>
          <w:p w14:paraId="52858EFC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Fonts w:cs="Times New Roman"/>
                <w:szCs w:val="20"/>
              </w:rPr>
              <w:t>Жаксылыков Б.К., Буканова А.С.</w:t>
            </w:r>
            <w:r w:rsidRPr="000169DA">
              <w:rPr>
                <w:rFonts w:cs="Times New Roman"/>
                <w:sz w:val="24"/>
                <w:szCs w:val="24"/>
              </w:rPr>
              <w:t xml:space="preserve"> </w:t>
            </w:r>
            <w:r w:rsidRPr="000169DA">
              <w:rPr>
                <w:rFonts w:cs="Times New Roman"/>
                <w:szCs w:val="20"/>
              </w:rPr>
              <w:t>Современное состояние и перспективы развития процесса каталитического крекинга углеводородного сырья. «Глобальная наука и инновация 2021: Центральная Азия», №1(12). Февраль 2021. Серия «Технические науки», 4 том, Нур-Султан, 2021, С.8-13</w:t>
            </w:r>
          </w:p>
          <w:p w14:paraId="68CB4764" w14:textId="77777777" w:rsidR="00021EFB" w:rsidRPr="0096071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Таубаева Г.Ж., Буканова С.К., Буканова А.С., Кайрлиева Ф.Б. </w:t>
            </w:r>
            <w:r w:rsidRPr="000169DA">
              <w:rPr>
                <w:rFonts w:cs="Times New Roman"/>
                <w:szCs w:val="20"/>
              </w:rPr>
              <w:t>Обзор перспективных технологий переработки тяжелой нефти. Вестник Атырауского университета нефти и газа, №1(57)2021, С.63-67</w:t>
            </w:r>
          </w:p>
          <w:p w14:paraId="597EAC1B" w14:textId="77777777" w:rsidR="00021EFB" w:rsidRPr="0096071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156"/>
              </w:tabs>
              <w:rPr>
                <w:szCs w:val="20"/>
              </w:rPr>
            </w:pPr>
            <w:r>
              <w:rPr>
                <w:rFonts w:cs="Times New Roman"/>
                <w:szCs w:val="20"/>
              </w:rPr>
              <w:t xml:space="preserve">Карабасова Н.А., </w:t>
            </w:r>
            <w:r w:rsidRPr="00153CAA">
              <w:rPr>
                <w:szCs w:val="20"/>
              </w:rPr>
              <w:t>Буканова А.С., Мамытов К.Ж., Тналиев Е.Р.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53CAA">
              <w:rPr>
                <w:szCs w:val="20"/>
                <w:lang w:val="kk-KZ"/>
              </w:rPr>
              <w:t>Перспективы производства специальных марок полипропилена в Атырауской области</w:t>
            </w:r>
            <w:r>
              <w:rPr>
                <w:szCs w:val="20"/>
                <w:lang w:val="kk-KZ"/>
              </w:rPr>
              <w:t>//</w:t>
            </w:r>
            <w:r w:rsidRPr="00153CAA">
              <w:rPr>
                <w:szCs w:val="20"/>
              </w:rPr>
              <w:t>Сборник тезисов докладов XV Международной конференции молодых ученых, студентов и аспирантов «Синтез и исследование свойств, модификация и переработка высокомолекулярных соединений» - Кирпичниковские чтения. т.2 с.58-59, 2021 г.</w:t>
            </w:r>
          </w:p>
          <w:p w14:paraId="6B9D6D69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Style w:val="normaltextrun"/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Fonts w:cs="Times New Roman"/>
                <w:szCs w:val="20"/>
              </w:rPr>
              <w:t xml:space="preserve">Досмагамбетова М.К., Нурпеисов Б.Р., Базар А.Н., Шамбилова Г.К., Еслямгалиева А.М. Койшиманов А.Б., Буканова А.С., Кайрлиева Ф.Б Антигололедный препарат.  </w:t>
            </w:r>
            <w:r w:rsidRPr="000169DA">
              <w:rPr>
                <w:rStyle w:val="normaltextrun"/>
                <w:szCs w:val="20"/>
              </w:rPr>
              <w:t>Патент РК №6318 на полезную модель. 2021/0435.2, 05.05.2021, дата регистр. 13.08.2021</w:t>
            </w:r>
          </w:p>
          <w:p w14:paraId="117B3AAD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Fonts w:cs="Times New Roman"/>
                <w:szCs w:val="20"/>
              </w:rPr>
              <w:t xml:space="preserve">Л.З.Касьянова, А.А. Исламутдинова, Буканова А.С., Ф.Б. Кайрлиева Проблемы утилизации отработанных алюмохромовых катализаторов. </w:t>
            </w:r>
            <w:r w:rsidRPr="000169DA">
              <w:rPr>
                <w:szCs w:val="20"/>
              </w:rPr>
              <w:t xml:space="preserve">Сборник трудов </w:t>
            </w:r>
            <w:r w:rsidRPr="000169DA">
              <w:rPr>
                <w:szCs w:val="20"/>
                <w:lang w:val="kk-KZ"/>
              </w:rPr>
              <w:t>ІІІ</w:t>
            </w:r>
            <w:r w:rsidRPr="000169DA">
              <w:rPr>
                <w:szCs w:val="20"/>
              </w:rPr>
              <w:t xml:space="preserve"> Всероссийской НПК. Филиал УГНТУ, г.Стерлитамак. 16 ноября 2021г. с.33-35</w:t>
            </w:r>
          </w:p>
          <w:p w14:paraId="3F86B71F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Style w:val="a6"/>
                <w:rFonts w:cs="Times New Roman"/>
                <w:color w:val="auto"/>
                <w:szCs w:val="20"/>
                <w:u w:val="none"/>
                <w:shd w:val="clear" w:color="auto" w:fill="FFFFFF"/>
              </w:rPr>
            </w:pPr>
            <w:r w:rsidRPr="000169DA">
              <w:rPr>
                <w:rFonts w:cs="Times New Roman"/>
                <w:bCs/>
                <w:color w:val="000000"/>
                <w:szCs w:val="20"/>
              </w:rPr>
              <w:t>Буканова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А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С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Кайрлиева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Ф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Б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Буканова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С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К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Карабасова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Н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А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Сакипова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Л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Б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 Forecasting the guality of mineral oils during oil refining according to the fuel and oil flow chart at Atyrau Refinery.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 xml:space="preserve">E3S Web Conferences 288, 01028 (2021) Международный симпозиум «Устойчивая энергетика и энергомашиностроение – 2021: SUSE-2021». </w:t>
            </w:r>
            <w:hyperlink r:id="rId10" w:history="1">
              <w:r w:rsidRPr="000169DA">
                <w:rPr>
                  <w:rStyle w:val="a6"/>
                  <w:rFonts w:cs="Times New Roman"/>
                  <w:bCs/>
                  <w:szCs w:val="20"/>
                </w:rPr>
                <w:t>https://doi.org/10.1051/e3sconf/202128801028</w:t>
              </w:r>
            </w:hyperlink>
          </w:p>
          <w:p w14:paraId="2E2BE38C" w14:textId="77777777" w:rsidR="00021EFB" w:rsidRPr="00021EFB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Style w:val="a6"/>
                <w:rFonts w:cs="Times New Roman"/>
                <w:color w:val="auto"/>
                <w:szCs w:val="20"/>
                <w:u w:val="none"/>
                <w:shd w:val="clear" w:color="auto" w:fill="FFFFFF"/>
                <w:lang w:val="en-US"/>
              </w:rPr>
            </w:pP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Рафаил Мендыбаев</w:t>
            </w:r>
            <w:r w:rsidRPr="000169DA">
              <w:rPr>
                <w:rStyle w:val="author"/>
                <w:szCs w:val="20"/>
              </w:rPr>
              <w:t xml:space="preserve">, </w:t>
            </w: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Нурлан Утеулиев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 xml:space="preserve">, </w:t>
            </w: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Диана Мендыбаева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 xml:space="preserve">, </w:t>
            </w: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Сайранбек Ахметов,</w:t>
            </w:r>
            <w:r w:rsidRPr="000169DA">
              <w:rPr>
                <w:rStyle w:val="author"/>
                <w:szCs w:val="20"/>
              </w:rPr>
              <w:t xml:space="preserve"> Айгуль Буканова</w:t>
            </w:r>
            <w:r w:rsidRPr="000169DA">
              <w:rPr>
                <w:rStyle w:val="author"/>
              </w:rPr>
              <w:t>.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Method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for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producing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low</w:t>
            </w:r>
            <w:r w:rsidRPr="000169DA">
              <w:rPr>
                <w:rFonts w:cs="Times New Roman"/>
                <w:color w:val="000000"/>
                <w:szCs w:val="20"/>
              </w:rPr>
              <w:t>-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viscosity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marine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fuel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oil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. Международный симпозиум «Устойчивая энергетика и энергомашиностроение – 2021: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SUSE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-2021» </w:t>
            </w:r>
            <w:r w:rsidRPr="000169DA">
              <w:rPr>
                <w:rFonts w:eastAsia="ArialUnicodeMS" w:cs="Times New Roman"/>
                <w:szCs w:val="20"/>
              </w:rPr>
              <w:t xml:space="preserve">E3S Web of Conferences (2021), 288, 01028. </w:t>
            </w:r>
            <w:r w:rsidRPr="000169DA">
              <w:rPr>
                <w:rFonts w:cs="Times New Roman"/>
                <w:szCs w:val="20"/>
                <w:lang w:val="en-US"/>
              </w:rPr>
              <w:t xml:space="preserve">International Symposium “Sustainable Energy and Power Engineering 2021” </w:t>
            </w:r>
            <w:r w:rsidRPr="000169DA">
              <w:rPr>
                <w:rFonts w:cs="Times New Roman"/>
                <w:szCs w:val="20"/>
                <w:lang w:val="en-US"/>
              </w:rPr>
              <w:lastRenderedPageBreak/>
              <w:t xml:space="preserve">(SUSE-2021. </w:t>
            </w:r>
            <w:hyperlink r:id="rId11" w:history="1">
              <w:r w:rsidRPr="00021EFB">
                <w:rPr>
                  <w:rStyle w:val="a6"/>
                  <w:rFonts w:cs="Times New Roman"/>
                  <w:bCs/>
                  <w:szCs w:val="20"/>
                  <w:lang w:val="en-US"/>
                </w:rPr>
                <w:t>https://doi.org/10.1051/e3sconf/202128801028</w:t>
              </w:r>
            </w:hyperlink>
          </w:p>
          <w:p w14:paraId="64C5500B" w14:textId="77777777" w:rsidR="00021EFB" w:rsidRPr="0096071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  <w:lang w:val="en-US"/>
              </w:rPr>
            </w:pPr>
            <w:r w:rsidRPr="000169DA">
              <w:rPr>
                <w:rFonts w:cs="Times New Roman"/>
                <w:szCs w:val="20"/>
                <w:lang w:val="en-US"/>
              </w:rPr>
              <w:t xml:space="preserve">Saginayev A., </w:t>
            </w:r>
            <w:r w:rsidRPr="000169DA">
              <w:rPr>
                <w:rFonts w:cs="Times New Roman"/>
                <w:szCs w:val="20"/>
                <w:lang w:val="kk-KZ"/>
              </w:rPr>
              <w:t xml:space="preserve">Bukanova А.С., </w:t>
            </w:r>
            <w:r w:rsidRPr="000169DA">
              <w:rPr>
                <w:rFonts w:cs="Times New Roman"/>
                <w:szCs w:val="20"/>
                <w:lang w:val="en-US"/>
              </w:rPr>
              <w:t>Kairlieva F., Bukanova S.,Karabasova N.</w:t>
            </w:r>
            <w:r w:rsidRPr="000169D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 xml:space="preserve">Geometrical Structure of 1-Vinyl-, 2-Vinyl- and 2-Methylenadamantanes and Their Electronic Characteristic According to the Diet. </w:t>
            </w:r>
            <w:r w:rsidRPr="000169DA">
              <w:rPr>
                <w:rFonts w:cs="Times New Roman"/>
                <w:bCs/>
                <w:szCs w:val="20"/>
                <w:lang w:val="en-IN" w:eastAsia="en-IN"/>
              </w:rPr>
              <w:t xml:space="preserve">9th International Conference on Catalysis and Chemical Engineering | </w:t>
            </w:r>
            <w:r w:rsidRPr="000169DA">
              <w:rPr>
                <w:rFonts w:cs="Times New Roman"/>
                <w:bCs/>
                <w:szCs w:val="20"/>
                <w:lang w:val="en-US"/>
              </w:rPr>
              <w:t>November 17,</w:t>
            </w:r>
            <w:r w:rsidRPr="000169DA">
              <w:rPr>
                <w:rFonts w:cs="Times New Roman"/>
                <w:bCs/>
                <w:szCs w:val="20"/>
                <w:lang w:val="en-IN" w:eastAsia="en-IN"/>
              </w:rPr>
              <w:t xml:space="preserve"> 2021</w:t>
            </w:r>
          </w:p>
          <w:p w14:paraId="009C9C34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  <w:lang w:val="en-US"/>
              </w:rPr>
            </w:pPr>
            <w:r w:rsidRPr="00C92016">
              <w:rPr>
                <w:rFonts w:cs="Times New Roman"/>
                <w:bCs/>
                <w:color w:val="000000"/>
                <w:szCs w:val="20"/>
              </w:rPr>
              <w:t>А.Т.Адилова, Н.А. Карабасова, А.С.Буканова, Ф.Б.Кайрлиева Обзор достижений в современных методах деэмульсификации нефтяной эмульсии Вестник Атырауского университета нефти и газа им. С.Утебаева, № 4(60) 2021 с.38-43</w:t>
            </w:r>
          </w:p>
          <w:p w14:paraId="13212114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Fonts w:cs="Times New Roman"/>
                <w:bCs/>
                <w:szCs w:val="20"/>
                <w:shd w:val="clear" w:color="auto" w:fill="FFFFFF"/>
                <w:lang w:eastAsia="en-IN"/>
              </w:rPr>
              <w:t xml:space="preserve">Буканова А.С., </w:t>
            </w:r>
            <w:r w:rsidRPr="000169DA">
              <w:rPr>
                <w:rFonts w:cs="Times New Roman"/>
                <w:szCs w:val="20"/>
                <w:lang w:val="kk-KZ"/>
              </w:rPr>
              <w:t>Кайрлиева Ф.Б., Карабасова Н.А., Сакипова Л.Б., Панченко О.Ю</w:t>
            </w:r>
            <w:r w:rsidRPr="000169DA">
              <w:rPr>
                <w:rFonts w:cs="Times New Roman"/>
                <w:szCs w:val="20"/>
              </w:rPr>
              <w:t xml:space="preserve"> Перспективы использования попутного нефтяного газа как сырья для нефтехимии в Казахстане. 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Сборник материалов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XIV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Международных научных Надировских чтений «Яркий пример преемственности научных традиций и верности професссии», посвященных 90-летию Академика НАН РК, выдающемуся ученому, основателю научной школы нефтехимии Казахстана Надирову Надиру Каримовичу. С.171-177, 25.02.2022г.</w:t>
            </w:r>
          </w:p>
          <w:p w14:paraId="78FEB9DB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Fonts w:cs="Times New Roman"/>
                <w:szCs w:val="20"/>
                <w:lang w:val="kk-KZ"/>
              </w:rPr>
              <w:t>Алмагамбетова М.Ж., Буканова А.С., Кыдырбай Н.Б.</w:t>
            </w:r>
            <w:r w:rsidRPr="000169DA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</w:rPr>
              <w:t xml:space="preserve">Применение растительных масел в качестве биологической добавки к моторным топливам. </w:t>
            </w:r>
            <w:r w:rsidRPr="000169DA">
              <w:rPr>
                <w:rFonts w:cs="Times New Roman"/>
                <w:color w:val="000000"/>
                <w:szCs w:val="20"/>
              </w:rPr>
              <w:t>Надировских чтений «Яркий пример преемственности научных традиций и верности професссии», посвященных 90-летию Академика НАН РК, выдающемуся ученому, основателю научной школы нефтехимии Казахстана Надирову Надиру Каримовичу. С.124-129, 25.02.2022г</w:t>
            </w:r>
          </w:p>
          <w:p w14:paraId="5F2CF7BC" w14:textId="77777777" w:rsidR="00021EFB" w:rsidRPr="0096071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 xml:space="preserve">Балыкова Д.В., Сусликов А.В., </w:t>
            </w:r>
            <w:r w:rsidRPr="000169DA">
              <w:rPr>
                <w:rStyle w:val="author"/>
                <w:bCs/>
                <w:color w:val="000000"/>
                <w:szCs w:val="20"/>
              </w:rPr>
              <w:t xml:space="preserve">Буканова А.С., </w:t>
            </w: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Кайрлиева Ф.Б., Жирнов Б.С.</w:t>
            </w:r>
            <w:r w:rsidRPr="000169DA">
              <w:rPr>
                <w:rStyle w:val="author"/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Разработка технологических решений по утилизации отходов нефтекоксовых и угольных производств.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>ISSN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2664-2271 Журнал  «Глобальная наука и инновация 2022: Центральная Азия», №2(16), Серия «Технические науки», 3 том, Нур-Султан, апрель 2022,С.78-80</w:t>
            </w:r>
          </w:p>
          <w:p w14:paraId="5B28E28D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Каримов О.Х., Каримов Э.Х., Тептерева Г.А.,</w:t>
            </w:r>
            <w:r w:rsidRPr="000169DA">
              <w:rPr>
                <w:rStyle w:val="author"/>
                <w:bCs/>
                <w:color w:val="000000"/>
                <w:szCs w:val="20"/>
              </w:rPr>
              <w:t xml:space="preserve"> </w:t>
            </w: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Мовсумзаде Э.М.,Колчигина Г.Ю.</w:t>
            </w:r>
            <w:r w:rsidRPr="000169DA">
              <w:rPr>
                <w:rStyle w:val="author"/>
                <w:bCs/>
                <w:color w:val="000000"/>
                <w:szCs w:val="20"/>
              </w:rPr>
              <w:t xml:space="preserve">, </w:t>
            </w:r>
            <w:r w:rsidRPr="000169DA">
              <w:rPr>
                <w:rStyle w:val="author"/>
                <w:rFonts w:cs="Times New Roman"/>
                <w:bCs/>
                <w:color w:val="000000"/>
                <w:szCs w:val="20"/>
              </w:rPr>
              <w:t>Кайрлиева Ф.Б.</w:t>
            </w:r>
            <w:r w:rsidRPr="000169DA">
              <w:rPr>
                <w:rStyle w:val="author"/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69DA">
              <w:rPr>
                <w:rFonts w:cs="Times New Roman"/>
                <w:color w:val="000000"/>
                <w:szCs w:val="20"/>
              </w:rPr>
              <w:t>Получение ароматических углеводородов из лигнина на железосодержащих катализаторах. УДК 544.476. Журнал «НефтеГазоХимия», кинетика и катализ, 1-2, 2022, С.10-14</w:t>
            </w:r>
          </w:p>
          <w:p w14:paraId="4A8833B5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bCs/>
                <w:color w:val="000000"/>
                <w:szCs w:val="20"/>
              </w:rPr>
              <w:t xml:space="preserve">А.Т. Адилова, Буканова А.С., Н.А. Карабасова, 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>Ф.Б.Кайрлиева</w:t>
            </w:r>
            <w:r w:rsidRPr="000169DA">
              <w:rPr>
                <w:rFonts w:cs="Times New Roman"/>
                <w:color w:val="000000"/>
                <w:szCs w:val="20"/>
              </w:rPr>
              <w:t xml:space="preserve"> Изучение эффективности широко применяемых реагентов-деэмульгаторов в процессе термохимического обезвоживания нефти. 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Young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Scientist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 xml:space="preserve"> #9 (404) 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p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 xml:space="preserve">. 21-28 </w:t>
            </w:r>
            <w:r w:rsidRPr="000169DA">
              <w:rPr>
                <w:rFonts w:cs="Times New Roman"/>
                <w:bCs/>
                <w:color w:val="000000"/>
                <w:szCs w:val="20"/>
                <w:lang w:val="en-US"/>
              </w:rPr>
              <w:t>March</w:t>
            </w:r>
            <w:r w:rsidRPr="000169DA">
              <w:rPr>
                <w:rFonts w:cs="Times New Roman"/>
                <w:bCs/>
                <w:color w:val="000000"/>
                <w:szCs w:val="20"/>
              </w:rPr>
              <w:t xml:space="preserve"> 2022</w:t>
            </w:r>
          </w:p>
          <w:p w14:paraId="66348397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  <w:lang w:val="kk-KZ"/>
              </w:rPr>
            </w:pPr>
            <w:r w:rsidRPr="000169DA">
              <w:rPr>
                <w:bCs/>
                <w:color w:val="000000"/>
                <w:szCs w:val="20"/>
                <w:lang w:val="kk-KZ"/>
              </w:rPr>
              <w:t>Әбілхайыров А.И Кайрлиева Ф.Б., Карешова Ж.К., Мұратов И.Б.</w:t>
            </w:r>
            <w:r w:rsidRPr="000169DA"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0169DA">
              <w:rPr>
                <w:rFonts w:cs="Times New Roman"/>
                <w:color w:val="000000"/>
                <w:sz w:val="22"/>
                <w:lang w:val="kk-KZ"/>
              </w:rPr>
              <w:t xml:space="preserve">Мұнай ине коксы технологиясының болашағы. </w:t>
            </w:r>
            <w:r w:rsidRPr="000169DA">
              <w:rPr>
                <w:rFonts w:cs="Times New Roman"/>
                <w:bCs/>
                <w:color w:val="000000"/>
                <w:lang w:val="kk-KZ"/>
              </w:rPr>
              <w:t>Қазақстан жоғары мектебі”- “Высшая школа Казахстана” - “Higher education in Kazakhstan”, №2/ 2022, 261-267 б.</w:t>
            </w:r>
          </w:p>
          <w:p w14:paraId="07A913B9" w14:textId="77777777" w:rsidR="00021EFB" w:rsidRPr="00A8600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  <w:lang w:val="kk-KZ"/>
              </w:rPr>
            </w:pPr>
            <w:r w:rsidRPr="000169DA">
              <w:rPr>
                <w:bCs/>
                <w:szCs w:val="20"/>
              </w:rPr>
              <w:t>Балыкова Д.В., Сусликов А.В., Буканова А.С., Кайрлиева Ф.Б., Карабасова Н.А., Жирнов Б.С.</w:t>
            </w:r>
            <w:r w:rsidRPr="000169DA">
              <w:rPr>
                <w:rFonts w:cs="Times New Roman"/>
              </w:rPr>
              <w:t xml:space="preserve"> Исследование прочностных характеристик композитов на основе сырого и прокаленного нефтяного кокса со связующим. Х</w:t>
            </w:r>
            <w:r w:rsidRPr="000169DA">
              <w:rPr>
                <w:rFonts w:cs="Times New Roman"/>
                <w:lang w:val="kk-KZ"/>
              </w:rPr>
              <w:t>І</w:t>
            </w:r>
            <w:r w:rsidRPr="000169DA">
              <w:rPr>
                <w:rFonts w:cs="Times New Roman"/>
              </w:rPr>
              <w:t xml:space="preserve"> МНПК </w:t>
            </w:r>
            <w:r w:rsidRPr="000169DA">
              <w:rPr>
                <w:rFonts w:cs="Times New Roman"/>
                <w:bCs/>
              </w:rPr>
              <w:t xml:space="preserve">«Наука </w:t>
            </w:r>
            <w:r w:rsidRPr="000169DA">
              <w:rPr>
                <w:rFonts w:cs="Times New Roman"/>
                <w:bCs/>
              </w:rPr>
              <w:lastRenderedPageBreak/>
              <w:t xml:space="preserve">и образование в современном мире: вызовы </w:t>
            </w:r>
            <w:r w:rsidRPr="000169DA">
              <w:rPr>
                <w:rFonts w:cs="Times New Roman"/>
                <w:bCs/>
                <w:lang w:val="en-US"/>
              </w:rPr>
              <w:t>XXI</w:t>
            </w:r>
            <w:r w:rsidRPr="000169DA">
              <w:rPr>
                <w:rFonts w:cs="Times New Roman"/>
                <w:bCs/>
              </w:rPr>
              <w:t xml:space="preserve"> века», </w:t>
            </w:r>
            <w:r w:rsidRPr="000169DA">
              <w:rPr>
                <w:rFonts w:cs="Times New Roman"/>
                <w:lang w:val="kk-KZ"/>
              </w:rPr>
              <w:t>Астана, 27.11.2022г.</w:t>
            </w:r>
          </w:p>
          <w:p w14:paraId="7C6647D7" w14:textId="77777777" w:rsidR="00021EFB" w:rsidRPr="00A8600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  <w:lang w:val="kk-KZ"/>
              </w:rPr>
            </w:pPr>
            <w:r w:rsidRPr="00A8600A">
              <w:rPr>
                <w:rFonts w:cs="Times New Roman"/>
                <w:color w:val="333333"/>
                <w:szCs w:val="20"/>
                <w:shd w:val="clear" w:color="auto" w:fill="F6F6F6"/>
              </w:rPr>
              <w:t xml:space="preserve">Г. Ж. Таубаева, С. К. Буканова, А. С. Буканова, Ф. Б. Кайрлиева. Термокаталитический крекинг как одна из перспективных технологии переработки тяжелой нефти. Молодой ученый. 2022. № 11 (406). С. 1-6. </w:t>
            </w:r>
            <w:hyperlink r:id="rId12" w:history="1"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https</w:t>
              </w:r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</w:rPr>
                <w:t>://</w:t>
              </w:r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moluch</w:t>
              </w:r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</w:rPr>
                <w:t>.</w:t>
              </w:r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ru</w:t>
              </w:r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</w:rPr>
                <w:t>/</w:t>
              </w:r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archive</w:t>
              </w:r>
              <w:r w:rsidRPr="00A8600A">
                <w:rPr>
                  <w:rStyle w:val="a6"/>
                  <w:rFonts w:cs="Times New Roman"/>
                  <w:szCs w:val="20"/>
                  <w:shd w:val="clear" w:color="auto" w:fill="F6F6F6"/>
                </w:rPr>
                <w:t>/406/89581/</w:t>
              </w:r>
            </w:hyperlink>
            <w:r w:rsidRPr="00A8600A">
              <w:rPr>
                <w:rFonts w:cs="Times New Roman"/>
                <w:color w:val="333333"/>
                <w:szCs w:val="20"/>
                <w:shd w:val="clear" w:color="auto" w:fill="F6F6F6"/>
              </w:rPr>
              <w:t>.</w:t>
            </w:r>
          </w:p>
          <w:p w14:paraId="7ADF06AD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</w:rPr>
            </w:pPr>
            <w:r w:rsidRPr="000169DA">
              <w:rPr>
                <w:szCs w:val="20"/>
                <w:lang w:val="en-US"/>
              </w:rPr>
              <w:t xml:space="preserve">Kaldybayeva </w:t>
            </w:r>
            <w:r w:rsidRPr="000169DA">
              <w:rPr>
                <w:szCs w:val="20"/>
              </w:rPr>
              <w:t>А</w:t>
            </w:r>
            <w:r w:rsidRPr="000169DA">
              <w:rPr>
                <w:szCs w:val="20"/>
                <w:lang w:val="en-US"/>
              </w:rPr>
              <w:t xml:space="preserve">. S., Bukanova S. K., Kalauova A. S., Shambilova G. K. </w:t>
            </w:r>
            <w:r w:rsidRPr="000169DA">
              <w:rPr>
                <w:rFonts w:cs="Times New Roman"/>
                <w:szCs w:val="20"/>
                <w:lang w:val="en-US"/>
              </w:rPr>
              <w:t>Investigation of ways to increase the efficiency of absorption processes in the purification of hydrocarbons streams from sulfur compounds and carbon dioxide.</w:t>
            </w:r>
            <w:r w:rsidRPr="000169DA">
              <w:rPr>
                <w:rFonts w:cs="Times New Roman"/>
                <w:sz w:val="22"/>
                <w:lang w:val="en-US"/>
              </w:rPr>
              <w:t xml:space="preserve"> </w:t>
            </w:r>
            <w:r w:rsidRPr="000169DA">
              <w:rPr>
                <w:rFonts w:cs="Times New Roman"/>
              </w:rPr>
              <w:t>Переработка углеводородного сырья: проблемы и инновации–2022. Международная научно-практическая конференция, Астрахань, 10 ноября 2022 года, С.129-131</w:t>
            </w:r>
          </w:p>
          <w:p w14:paraId="5910198D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rPr>
                <w:rFonts w:cs="Times New Roman"/>
                <w:szCs w:val="20"/>
                <w:shd w:val="clear" w:color="auto" w:fill="FFFFFF"/>
                <w:lang w:val="en-US"/>
              </w:rPr>
            </w:pPr>
            <w:r w:rsidRPr="000169DA">
              <w:rPr>
                <w:rFonts w:cs="Times New Roman"/>
                <w:bCs/>
                <w:lang w:val="kk-KZ"/>
              </w:rPr>
              <w:t>Saginayev A.T.,</w:t>
            </w:r>
            <w:r w:rsidRPr="000169DA">
              <w:rPr>
                <w:rFonts w:cs="Times New Roman"/>
                <w:lang w:val="kk-KZ"/>
              </w:rPr>
              <w:t xml:space="preserve"> Bukanova A.S., Esirkepova M.M., Esirkepova A.M. </w:t>
            </w:r>
            <w:r w:rsidRPr="000169DA">
              <w:rPr>
                <w:rFonts w:cs="Times New Roman"/>
                <w:lang w:val="en-US"/>
              </w:rPr>
              <w:t xml:space="preserve">Geometric structure of 1-Vinyl-, 2-Vinyl- and   2-Methyleneadamantanes and their Electronic characteristics according to the DFT method. </w:t>
            </w:r>
            <w:r w:rsidRPr="000169DA">
              <w:rPr>
                <w:rFonts w:eastAsia="CIDFont+F2" w:cs="Times New Roman"/>
                <w:lang w:val="en-US"/>
              </w:rPr>
              <w:t>Annals of Forest Research, 2022, V. 65. No. 1. P. 10478-10485.</w:t>
            </w:r>
          </w:p>
          <w:p w14:paraId="59B1160E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226"/>
                <w:tab w:val="left" w:pos="436"/>
              </w:tabs>
              <w:snapToGrid w:val="0"/>
              <w:rPr>
                <w:rFonts w:cs="Times New Roman"/>
                <w:szCs w:val="20"/>
                <w:lang w:val="kk-KZ"/>
              </w:rPr>
            </w:pPr>
            <w:r w:rsidRPr="000169DA">
              <w:rPr>
                <w:szCs w:val="20"/>
                <w:lang w:val="en-US"/>
              </w:rPr>
              <w:t>Igor S. Makarov, Gulbarshin K. Shambilova, Markel I. Vinogradov, Tatyana S. Anokhin</w:t>
            </w:r>
            <w:r w:rsidRPr="000169DA">
              <w:rPr>
                <w:szCs w:val="20"/>
              </w:rPr>
              <w:t>а</w:t>
            </w:r>
            <w:r w:rsidRPr="000169DA">
              <w:rPr>
                <w:szCs w:val="20"/>
                <w:lang w:val="en-US"/>
              </w:rPr>
              <w:t xml:space="preserve">, Aigul S. Bukanova, Fazilat B. Kairliyeva, Saule K. Bukanova and Ivan S. Levin. </w:t>
            </w:r>
            <w:r w:rsidRPr="000169DA">
              <w:rPr>
                <w:rStyle w:val="author"/>
                <w:rFonts w:cs="Times New Roman"/>
                <w:bCs/>
                <w:szCs w:val="20"/>
                <w:lang w:val="en-US"/>
              </w:rPr>
              <w:t>Membranes Based on Cellulose and Copolymers of Acrylonitrile Prepared from Joint Solutions.</w:t>
            </w:r>
            <w:r w:rsidRPr="000169DA">
              <w:rPr>
                <w:rFonts w:cs="Times New Roman"/>
                <w:szCs w:val="20"/>
                <w:lang w:val="en-US"/>
              </w:rPr>
              <w:t xml:space="preserve"> Membranes 2023, 13, 667. </w:t>
            </w:r>
            <w:r w:rsidRPr="000169DA">
              <w:rPr>
                <w:rFonts w:cs="Times New Roman"/>
                <w:b/>
                <w:szCs w:val="20"/>
                <w:lang w:val="en-US"/>
              </w:rPr>
              <w:t>Q1,</w:t>
            </w:r>
            <w:r w:rsidRPr="000169DA">
              <w:rPr>
                <w:rFonts w:cs="Times New Roman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b/>
                <w:szCs w:val="20"/>
                <w:lang w:val="en-US"/>
              </w:rPr>
              <w:t>IF= 5,2</w:t>
            </w:r>
            <w:r w:rsidRPr="000169DA">
              <w:rPr>
                <w:rFonts w:cs="Times New Roman"/>
                <w:b/>
                <w:color w:val="000000"/>
                <w:szCs w:val="20"/>
                <w:lang w:val="en-US"/>
              </w:rPr>
              <w:t xml:space="preserve">, </w:t>
            </w:r>
            <w:r w:rsidRPr="000169DA">
              <w:rPr>
                <w:rFonts w:cs="Times New Roman"/>
                <w:b/>
                <w:szCs w:val="20"/>
                <w:lang w:val="kk-KZ"/>
              </w:rPr>
              <w:t>percentile</w:t>
            </w:r>
            <w:r w:rsidRPr="000169DA">
              <w:rPr>
                <w:rFonts w:cs="Times New Roman"/>
                <w:b/>
                <w:color w:val="000000"/>
                <w:szCs w:val="20"/>
                <w:lang w:val="en-US"/>
              </w:rPr>
              <w:t xml:space="preserve"> 81%. </w:t>
            </w:r>
            <w:hyperlink r:id="rId13" w:history="1">
              <w:r w:rsidRPr="000169DA">
                <w:rPr>
                  <w:rStyle w:val="a6"/>
                  <w:rFonts w:cs="Times New Roman"/>
                  <w:szCs w:val="20"/>
                  <w:lang w:val="kk-KZ"/>
                </w:rPr>
                <w:t>https://doi.org/10.3390/membranes13070667</w:t>
              </w:r>
            </w:hyperlink>
          </w:p>
          <w:p w14:paraId="79A7FD23" w14:textId="77777777" w:rsidR="00021EFB" w:rsidRPr="000169DA" w:rsidRDefault="00021EFB" w:rsidP="00021EFB">
            <w:pPr>
              <w:pStyle w:val="a7"/>
              <w:tabs>
                <w:tab w:val="left" w:pos="226"/>
                <w:tab w:val="left" w:pos="436"/>
              </w:tabs>
              <w:rPr>
                <w:rFonts w:cs="Times New Roman"/>
                <w:szCs w:val="20"/>
                <w:lang w:val="kk-KZ"/>
              </w:rPr>
            </w:pPr>
            <w:hyperlink r:id="rId14" w:history="1">
              <w:r w:rsidRPr="008B20E4">
                <w:rPr>
                  <w:rStyle w:val="a6"/>
                  <w:rFonts w:cs="Times New Roman"/>
                  <w:szCs w:val="20"/>
                  <w:lang w:val="kk-KZ"/>
                </w:rPr>
                <w:t>https://www.mdpi.com/journal/membranes</w:t>
              </w:r>
            </w:hyperlink>
          </w:p>
          <w:p w14:paraId="3CA710B1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rPr>
                <w:rStyle w:val="a6"/>
                <w:rFonts w:cs="Times New Roman"/>
                <w:color w:val="auto"/>
                <w:szCs w:val="20"/>
                <w:u w:val="none"/>
                <w:lang w:val="kk-KZ"/>
              </w:rPr>
            </w:pPr>
            <w:r w:rsidRPr="000169DA">
              <w:rPr>
                <w:rFonts w:cs="Times New Roman"/>
                <w:szCs w:val="20"/>
                <w:lang w:val="kk-KZ"/>
              </w:rPr>
              <w:t xml:space="preserve">Ilyin V.M., </w:t>
            </w:r>
            <w:r w:rsidRPr="000169DA">
              <w:rPr>
                <w:rFonts w:cs="Times New Roman"/>
                <w:b/>
                <w:szCs w:val="20"/>
                <w:lang w:val="kk-KZ"/>
              </w:rPr>
              <w:t>Bukanova A.S.,</w:t>
            </w:r>
            <w:r w:rsidRPr="000169DA">
              <w:rPr>
                <w:rFonts w:cs="Times New Roman"/>
                <w:szCs w:val="20"/>
                <w:lang w:val="kk-KZ"/>
              </w:rPr>
              <w:t xml:space="preserve">  Islamutdinova A.A., L.R.Asfandiyarova Aminova E.K.,Petrova, O.A.</w:t>
            </w:r>
            <w:r w:rsidRPr="000169DA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 xml:space="preserve">Method for Producing Acid Corrosion Inhibitor. AIP Conference Proceedings, 2024, 2969(1), 020018 </w:t>
            </w:r>
            <w:hyperlink r:id="rId15" w:history="1">
              <w:r w:rsidRPr="000169DA">
                <w:rPr>
                  <w:rStyle w:val="a6"/>
                  <w:szCs w:val="20"/>
                  <w:lang w:val="kk-KZ"/>
                </w:rPr>
                <w:t>https://doi.org/10.1063/5.0183498</w:t>
              </w:r>
            </w:hyperlink>
          </w:p>
          <w:p w14:paraId="70381C35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rPr>
                <w:rStyle w:val="a6"/>
                <w:rFonts w:cs="Times New Roman"/>
                <w:color w:val="auto"/>
                <w:szCs w:val="20"/>
                <w:u w:val="none"/>
                <w:lang w:val="kk-KZ"/>
              </w:rPr>
            </w:pPr>
            <w:r w:rsidRPr="000169DA">
              <w:rPr>
                <w:rFonts w:cs="Times New Roman"/>
                <w:szCs w:val="20"/>
              </w:rPr>
              <w:t>Шамбилова Г. К., Зайрова С. Ж. Кайрлиева Ф. Б.</w:t>
            </w:r>
            <w:r w:rsidRPr="000169DA">
              <w:rPr>
                <w:rFonts w:cs="Times New Roman"/>
                <w:sz w:val="24"/>
                <w:szCs w:val="24"/>
              </w:rPr>
              <w:t xml:space="preserve"> </w:t>
            </w:r>
            <w:r w:rsidRPr="000169DA">
              <w:rPr>
                <w:rFonts w:cs="Times New Roman"/>
                <w:szCs w:val="20"/>
              </w:rPr>
              <w:t xml:space="preserve">Мембраны на основе растворов целлюлозы в n-метилморфолин-n-оксиде. Научный журнал «Интернаука», Химия, №15(332), часть 3, апрель, 2024г. (РИНЦ) </w:t>
            </w:r>
            <w:hyperlink r:id="rId16" w:history="1">
              <w:r w:rsidRPr="000169DA">
                <w:rPr>
                  <w:rStyle w:val="a6"/>
                  <w:rFonts w:cs="Times New Roman"/>
                  <w:szCs w:val="20"/>
                </w:rPr>
                <w:t>https://www.internauka.org/journal/science/internauka/332</w:t>
              </w:r>
            </w:hyperlink>
          </w:p>
          <w:p w14:paraId="339F0927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rPr>
                <w:rStyle w:val="normaltextrun"/>
                <w:rFonts w:cs="Times New Roman"/>
                <w:szCs w:val="20"/>
                <w:lang w:val="kk-KZ"/>
              </w:rPr>
            </w:pPr>
            <w:r w:rsidRPr="000169DA">
              <w:rPr>
                <w:rStyle w:val="normaltextrun"/>
                <w:rFonts w:cs="Times New Roman"/>
                <w:szCs w:val="20"/>
              </w:rPr>
              <w:t>Досмагамбетова М.К.,</w:t>
            </w:r>
            <w:r w:rsidRPr="000169DA">
              <w:rPr>
                <w:rStyle w:val="normaltextrun"/>
                <w:rFonts w:cs="Times New Roman"/>
                <w:b/>
                <w:bCs/>
                <w:szCs w:val="20"/>
              </w:rPr>
              <w:t xml:space="preserve"> </w:t>
            </w:r>
            <w:r w:rsidRPr="000169DA">
              <w:rPr>
                <w:rStyle w:val="normaltextrun"/>
                <w:rFonts w:cs="Times New Roman"/>
                <w:szCs w:val="20"/>
              </w:rPr>
              <w:t>Ыскакова А.К.,</w:t>
            </w:r>
            <w:r w:rsidRPr="000169DA">
              <w:rPr>
                <w:rStyle w:val="normaltextrun"/>
                <w:rFonts w:cs="Times New Roman"/>
                <w:b/>
                <w:bCs/>
                <w:szCs w:val="20"/>
              </w:rPr>
              <w:t xml:space="preserve"> </w:t>
            </w:r>
            <w:r w:rsidRPr="000169DA">
              <w:rPr>
                <w:rStyle w:val="normaltextrun"/>
                <w:rFonts w:cs="Times New Roman"/>
                <w:bCs/>
                <w:szCs w:val="20"/>
              </w:rPr>
              <w:t>Шамбилова Г.К.,</w:t>
            </w:r>
            <w:r w:rsidRPr="000169DA">
              <w:rPr>
                <w:rStyle w:val="normaltextrun"/>
                <w:rFonts w:cs="Times New Roman"/>
                <w:b/>
                <w:bCs/>
                <w:szCs w:val="20"/>
              </w:rPr>
              <w:t xml:space="preserve"> </w:t>
            </w:r>
            <w:r w:rsidRPr="000169DA">
              <w:rPr>
                <w:rStyle w:val="normaltextrun"/>
                <w:rFonts w:cs="Times New Roman"/>
                <w:szCs w:val="20"/>
              </w:rPr>
              <w:t>Б</w:t>
            </w:r>
            <w:r w:rsidRPr="000169DA">
              <w:rPr>
                <w:rStyle w:val="normaltextrun"/>
              </w:rPr>
              <w:t>уканова А.С.,</w:t>
            </w:r>
            <w:r w:rsidRPr="000169DA">
              <w:rPr>
                <w:rStyle w:val="normaltextrun"/>
                <w:b/>
                <w:bCs/>
              </w:rPr>
              <w:t xml:space="preserve"> </w:t>
            </w:r>
            <w:r w:rsidRPr="000169DA">
              <w:rPr>
                <w:rStyle w:val="normaltextrun"/>
                <w:rFonts w:cs="Times New Roman"/>
                <w:szCs w:val="20"/>
              </w:rPr>
              <w:t>Махатова В.Е.</w:t>
            </w:r>
            <w:r w:rsidRPr="000169DA">
              <w:rPr>
                <w:rStyle w:val="normaltextrun"/>
                <w:rFonts w:cs="Times New Roman"/>
                <w:sz w:val="24"/>
                <w:szCs w:val="24"/>
              </w:rPr>
              <w:t xml:space="preserve"> </w:t>
            </w:r>
            <w:r w:rsidRPr="000169DA">
              <w:rPr>
                <w:rStyle w:val="normaltextrun"/>
                <w:rFonts w:cs="Times New Roman"/>
                <w:szCs w:val="20"/>
              </w:rPr>
              <w:t>Антисептический гель. Патент нa полезную модель РК №8768. 2023/1097.2, 02.11.2023, дата регистр. 05.01.2024</w:t>
            </w:r>
          </w:p>
          <w:p w14:paraId="772EE638" w14:textId="77777777" w:rsidR="00021EFB" w:rsidRPr="000169DA" w:rsidRDefault="00021EFB" w:rsidP="00021EFB">
            <w:pPr>
              <w:pStyle w:val="a7"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rPr>
                <w:rFonts w:cs="Times New Roman"/>
                <w:szCs w:val="20"/>
                <w:lang w:val="kk-KZ"/>
              </w:rPr>
            </w:pPr>
            <w:r w:rsidRPr="000169DA">
              <w:rPr>
                <w:rFonts w:cs="Times New Roman"/>
                <w:szCs w:val="20"/>
                <w:lang w:val="en-US"/>
              </w:rPr>
              <w:t xml:space="preserve">Gulbarshin K. Shambilova 1,2,*, Aigul S. Bukanova 1, Altynay S. Kalauova 1, Danagul Zh. Kalimanova 2, Amangeldi I. Abilkhairov 1, Igor S. Makarov 3,*, Markel I. Vinogradov 3 , Georgy I. Makarov 3 , Sergey A. Yakimov 4 , Alexander V. Koksharov 4 and Egor M. Novikov 5. An Experimental Study on the Solubility of Betulin in the Complex Solvent Ethanol-DMSO. Processes 2024, 12, 1179. </w:t>
            </w:r>
            <w:hyperlink r:id="rId17" w:history="1">
              <w:r w:rsidRPr="000169DA">
                <w:rPr>
                  <w:rStyle w:val="a6"/>
                  <w:rFonts w:cs="Times New Roman"/>
                  <w:szCs w:val="20"/>
                  <w:lang w:val="en-US"/>
                </w:rPr>
                <w:t>https://doi.org/10.3390/pr12061179</w:t>
              </w:r>
            </w:hyperlink>
            <w:r w:rsidRPr="000169DA">
              <w:rPr>
                <w:rFonts w:cs="Times New Roman"/>
                <w:szCs w:val="20"/>
                <w:lang w:val="en-US"/>
              </w:rPr>
              <w:t>.</w:t>
            </w:r>
            <w:r w:rsidRPr="000169DA">
              <w:rPr>
                <w:rFonts w:cs="Times New Roman"/>
                <w:bCs/>
                <w:szCs w:val="20"/>
                <w:lang w:val="kk-KZ"/>
              </w:rPr>
              <w:t xml:space="preserve"> Q2, </w:t>
            </w:r>
            <w:r w:rsidRPr="000169DA">
              <w:rPr>
                <w:rFonts w:cs="Times New Roman"/>
                <w:bCs/>
                <w:szCs w:val="20"/>
                <w:lang w:val="en-US"/>
              </w:rPr>
              <w:t>IMPACT FACTOR 3,5 CITESCORE 4.7</w:t>
            </w:r>
          </w:p>
          <w:p w14:paraId="5D42F65E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snapToGrid w:val="0"/>
              <w:rPr>
                <w:rFonts w:cs="Times New Roman"/>
                <w:szCs w:val="20"/>
                <w:lang w:val="kk-KZ"/>
              </w:rPr>
            </w:pPr>
            <w:r w:rsidRPr="000169DA">
              <w:rPr>
                <w:rFonts w:cs="Times New Roman"/>
                <w:szCs w:val="20"/>
                <w:lang w:val="kk-KZ"/>
              </w:rPr>
              <w:t>Шакуликова Г.Т., Искаков Р.М., Досмагамбетова М.К.,Шамбилова  .К., Буканова А.С., Абилхаиров А.И., Кайрлиева Ф.Б.,Карешова Ж.К., Сакипова Л.Б.</w:t>
            </w:r>
            <w:r w:rsidRPr="000169DA">
              <w:rPr>
                <w:rFonts w:cs="Times New Roman"/>
                <w:bCs/>
                <w:szCs w:val="20"/>
                <w:lang w:val="kk-KZ"/>
              </w:rPr>
              <w:t xml:space="preserve"> «Способ получения формиата натрия в щелочной среде». Патент №9181 на полезную </w:t>
            </w:r>
            <w:r w:rsidRPr="000169DA">
              <w:rPr>
                <w:rFonts w:cs="Times New Roman"/>
                <w:bCs/>
                <w:szCs w:val="20"/>
                <w:lang w:val="kk-KZ"/>
              </w:rPr>
              <w:lastRenderedPageBreak/>
              <w:t>модель 31.05.2024г</w:t>
            </w:r>
          </w:p>
          <w:p w14:paraId="6CF25015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snapToGrid w:val="0"/>
              <w:rPr>
                <w:rFonts w:cs="Times New Roman"/>
                <w:szCs w:val="20"/>
                <w:lang w:val="kk-KZ"/>
              </w:rPr>
            </w:pPr>
            <w:r w:rsidRPr="000169DA">
              <w:rPr>
                <w:rFonts w:cs="Times New Roman"/>
                <w:szCs w:val="20"/>
                <w:lang w:val="kk-KZ"/>
              </w:rPr>
              <w:t xml:space="preserve">Шакуликова Г.Т., Искаков Р.М., Досмагамбетова М.К., Шамбилова  Г.К., Буканова А.С., </w:t>
            </w:r>
            <w:r w:rsidRPr="000169DA">
              <w:rPr>
                <w:rFonts w:cs="Times New Roman"/>
                <w:color w:val="4F5671"/>
                <w:szCs w:val="20"/>
                <w:shd w:val="clear" w:color="auto" w:fill="FFFFFF"/>
                <w:lang w:val="kk-KZ"/>
              </w:rPr>
              <w:t>Канбетов А.Ш., Калауова А.С., Кулбатыров Д.К., Жаксиева Г.Р.,</w:t>
            </w:r>
            <w:r w:rsidRPr="000169DA">
              <w:rPr>
                <w:rFonts w:cs="Times New Roman"/>
                <w:color w:val="4F567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169DA">
              <w:rPr>
                <w:rFonts w:cs="Times New Roman"/>
                <w:bCs/>
                <w:szCs w:val="20"/>
                <w:lang w:val="kk-KZ"/>
              </w:rPr>
              <w:t>Способ очистки промышленных сточных вод от нефтяных отходов.</w:t>
            </w:r>
            <w:r w:rsidRPr="000169DA">
              <w:rPr>
                <w:bCs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bCs/>
                <w:szCs w:val="20"/>
                <w:lang w:val="kk-KZ"/>
              </w:rPr>
              <w:t>Патент №9783 на полезную модель 15.11 2024г</w:t>
            </w:r>
          </w:p>
          <w:p w14:paraId="26F730F6" w14:textId="77777777" w:rsidR="00021EFB" w:rsidRPr="000169D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0169DA">
              <w:rPr>
                <w:rFonts w:cs="Times New Roman"/>
                <w:noProof/>
                <w:szCs w:val="20"/>
              </w:rPr>
              <w:drawing>
                <wp:anchor distT="0" distB="0" distL="0" distR="0" simplePos="0" relativeHeight="251660288" behindDoc="1" locked="0" layoutInCell="1" allowOverlap="1" wp14:anchorId="25C576AF" wp14:editId="2366E7AD">
                  <wp:simplePos x="0" y="0"/>
                  <wp:positionH relativeFrom="page">
                    <wp:posOffset>3416808</wp:posOffset>
                  </wp:positionH>
                  <wp:positionV relativeFrom="paragraph">
                    <wp:posOffset>168309</wp:posOffset>
                  </wp:positionV>
                  <wp:extent cx="115198" cy="115198"/>
                  <wp:effectExtent l="0" t="0" r="0" b="0"/>
                  <wp:wrapNone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8" cy="11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69DA">
              <w:rPr>
                <w:rFonts w:cs="Times New Roman"/>
                <w:noProof/>
                <w:szCs w:val="20"/>
              </w:rPr>
              <w:drawing>
                <wp:anchor distT="0" distB="0" distL="0" distR="0" simplePos="0" relativeHeight="251661312" behindDoc="1" locked="0" layoutInCell="1" allowOverlap="1" wp14:anchorId="3DD291FE" wp14:editId="52379550">
                  <wp:simplePos x="0" y="0"/>
                  <wp:positionH relativeFrom="page">
                    <wp:posOffset>6087046</wp:posOffset>
                  </wp:positionH>
                  <wp:positionV relativeFrom="paragraph">
                    <wp:posOffset>168309</wp:posOffset>
                  </wp:positionV>
                  <wp:extent cx="115198" cy="115198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8" cy="11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69DA">
              <w:rPr>
                <w:rFonts w:cs="Times New Roman"/>
                <w:szCs w:val="20"/>
                <w:lang w:val="kk-KZ"/>
              </w:rPr>
              <w:t>Gulbarshin</w:t>
            </w:r>
            <w:r w:rsidRPr="000169DA">
              <w:rPr>
                <w:rFonts w:cs="Times New Roman"/>
                <w:spacing w:val="4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K.</w:t>
            </w:r>
            <w:r w:rsidRPr="000169DA">
              <w:rPr>
                <w:rFonts w:cs="Times New Roman"/>
                <w:spacing w:val="5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Shambilova</w:t>
            </w:r>
            <w:r w:rsidRPr="000169DA">
              <w:rPr>
                <w:rFonts w:cs="Times New Roman"/>
                <w:spacing w:val="5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1,2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spacing w:val="5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Rinat</w:t>
            </w:r>
            <w:r w:rsidRPr="000169DA">
              <w:rPr>
                <w:rFonts w:cs="Times New Roman"/>
                <w:spacing w:val="5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M.</w:t>
            </w:r>
            <w:r w:rsidRPr="000169DA">
              <w:rPr>
                <w:rFonts w:cs="Times New Roman"/>
                <w:spacing w:val="5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Iskakov</w:t>
            </w:r>
            <w:r w:rsidRPr="000169DA">
              <w:rPr>
                <w:rFonts w:cs="Times New Roman"/>
                <w:spacing w:val="5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1,3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Aigul S.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Bukanova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1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Fazilat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B. Kairliyeva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1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noProof/>
                <w:szCs w:val="20"/>
              </w:rPr>
              <w:drawing>
                <wp:anchor distT="0" distB="0" distL="0" distR="0" simplePos="0" relativeHeight="251662336" behindDoc="1" locked="0" layoutInCell="1" allowOverlap="1" wp14:anchorId="39680850" wp14:editId="6713AE44">
                  <wp:simplePos x="0" y="0"/>
                  <wp:positionH relativeFrom="page">
                    <wp:posOffset>2954743</wp:posOffset>
                  </wp:positionH>
                  <wp:positionV relativeFrom="paragraph">
                    <wp:posOffset>17721</wp:posOffset>
                  </wp:positionV>
                  <wp:extent cx="115198" cy="115198"/>
                  <wp:effectExtent l="0" t="0" r="0" b="0"/>
                  <wp:wrapNone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8" cy="11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69DA">
              <w:rPr>
                <w:rFonts w:cs="Times New Roman"/>
                <w:noProof/>
                <w:szCs w:val="20"/>
              </w:rPr>
              <w:drawing>
                <wp:anchor distT="0" distB="0" distL="0" distR="0" simplePos="0" relativeHeight="251663360" behindDoc="1" locked="0" layoutInCell="1" allowOverlap="1" wp14:anchorId="7911524C" wp14:editId="288F2785">
                  <wp:simplePos x="0" y="0"/>
                  <wp:positionH relativeFrom="page">
                    <wp:posOffset>4214101</wp:posOffset>
                  </wp:positionH>
                  <wp:positionV relativeFrom="paragraph">
                    <wp:posOffset>17721</wp:posOffset>
                  </wp:positionV>
                  <wp:extent cx="115198" cy="115198"/>
                  <wp:effectExtent l="0" t="0" r="0" b="0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8" cy="11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69DA">
              <w:rPr>
                <w:rFonts w:cs="Times New Roman"/>
                <w:noProof/>
                <w:szCs w:val="20"/>
              </w:rPr>
              <w:drawing>
                <wp:anchor distT="0" distB="0" distL="0" distR="0" simplePos="0" relativeHeight="251664384" behindDoc="1" locked="0" layoutInCell="1" allowOverlap="1" wp14:anchorId="16EBE12D" wp14:editId="722A363D">
                  <wp:simplePos x="0" y="0"/>
                  <wp:positionH relativeFrom="page">
                    <wp:posOffset>5747270</wp:posOffset>
                  </wp:positionH>
                  <wp:positionV relativeFrom="paragraph">
                    <wp:posOffset>17721</wp:posOffset>
                  </wp:positionV>
                  <wp:extent cx="115198" cy="115198"/>
                  <wp:effectExtent l="0" t="0" r="0" b="0"/>
                  <wp:wrapNone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8" cy="11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69DA">
              <w:rPr>
                <w:rFonts w:cs="Times New Roman"/>
                <w:noProof/>
                <w:szCs w:val="20"/>
              </w:rPr>
              <w:drawing>
                <wp:anchor distT="0" distB="0" distL="0" distR="0" simplePos="0" relativeHeight="251659264" behindDoc="0" locked="0" layoutInCell="1" allowOverlap="1" wp14:anchorId="586FB985" wp14:editId="512D0ACB">
                  <wp:simplePos x="0" y="0"/>
                  <wp:positionH relativeFrom="page">
                    <wp:posOffset>6943382</wp:posOffset>
                  </wp:positionH>
                  <wp:positionV relativeFrom="paragraph">
                    <wp:posOffset>17721</wp:posOffset>
                  </wp:positionV>
                  <wp:extent cx="115198" cy="115198"/>
                  <wp:effectExtent l="0" t="0" r="0" b="0"/>
                  <wp:wrapNone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8" cy="11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69DA">
              <w:rPr>
                <w:rFonts w:cs="Times New Roman"/>
                <w:szCs w:val="20"/>
                <w:lang w:val="kk-KZ"/>
              </w:rPr>
              <w:t xml:space="preserve"> Altynay</w:t>
            </w:r>
            <w:r w:rsidRPr="000169DA">
              <w:rPr>
                <w:rFonts w:cs="Times New Roman"/>
                <w:spacing w:val="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S.</w:t>
            </w:r>
            <w:r w:rsidRPr="000169DA">
              <w:rPr>
                <w:rFonts w:cs="Times New Roman"/>
                <w:spacing w:val="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Kalauova</w:t>
            </w:r>
            <w:r w:rsidRPr="000169DA">
              <w:rPr>
                <w:rFonts w:cs="Times New Roman"/>
                <w:spacing w:val="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1,2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spacing w:val="3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Mikhail</w:t>
            </w:r>
            <w:r w:rsidRPr="000169DA">
              <w:rPr>
                <w:rFonts w:cs="Times New Roman"/>
                <w:spacing w:val="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S.</w:t>
            </w:r>
            <w:r w:rsidRPr="000169DA">
              <w:rPr>
                <w:rFonts w:cs="Times New Roman"/>
                <w:spacing w:val="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Kuzin</w:t>
            </w:r>
            <w:r w:rsidRPr="000169DA">
              <w:rPr>
                <w:rFonts w:cs="Times New Roman"/>
                <w:spacing w:val="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4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Egor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M.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Novikov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5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Pavel</w:t>
            </w:r>
            <w:r w:rsidRPr="000169DA">
              <w:rPr>
                <w:rFonts w:cs="Times New Roman"/>
                <w:spacing w:val="-3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S.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Gerasimenko</w:t>
            </w:r>
            <w:r w:rsidRPr="000169DA">
              <w:rPr>
                <w:rFonts w:cs="Times New Roman"/>
                <w:spacing w:val="-3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4</w:t>
            </w:r>
            <w:r w:rsidRPr="000169DA">
              <w:rPr>
                <w:rFonts w:cs="Times New Roman"/>
                <w:szCs w:val="20"/>
                <w:lang w:val="kk-KZ"/>
              </w:rPr>
              <w:t>,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Igor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S.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Makarov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kk-KZ"/>
              </w:rPr>
              <w:t>4</w:t>
            </w:r>
            <w:r w:rsidRPr="000169DA">
              <w:rPr>
                <w:rFonts w:cs="Times New Roman"/>
                <w:szCs w:val="20"/>
                <w:lang w:val="kk-KZ"/>
              </w:rPr>
              <w:t>and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Ivan</w:t>
            </w:r>
            <w:r w:rsidRPr="000169DA">
              <w:rPr>
                <w:rFonts w:cs="Times New Roman"/>
                <w:spacing w:val="-1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kk-KZ"/>
              </w:rPr>
              <w:t>Yu.</w:t>
            </w:r>
            <w:r w:rsidRPr="000169DA">
              <w:rPr>
                <w:rFonts w:cs="Times New Roman"/>
                <w:spacing w:val="-2"/>
                <w:szCs w:val="20"/>
                <w:lang w:val="kk-KZ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Skvortsov</w:t>
            </w:r>
            <w:r w:rsidRPr="000169DA">
              <w:rPr>
                <w:rFonts w:cs="Times New Roman"/>
                <w:spacing w:val="-1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position w:val="7"/>
                <w:szCs w:val="20"/>
                <w:lang w:val="en-US"/>
              </w:rPr>
              <w:t>4,</w:t>
            </w:r>
            <w:r w:rsidRPr="000169DA">
              <w:rPr>
                <w:rFonts w:cs="Times New Roman"/>
                <w:szCs w:val="20"/>
                <w:lang w:val="en-US"/>
              </w:rPr>
              <w:t>*  Polypropylene</w:t>
            </w:r>
            <w:r w:rsidRPr="000169DA">
              <w:rPr>
                <w:rFonts w:cs="Times New Roman"/>
                <w:spacing w:val="-11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Crystallinity</w:t>
            </w:r>
            <w:r w:rsidRPr="000169DA">
              <w:rPr>
                <w:rFonts w:cs="Times New Roman"/>
                <w:spacing w:val="-1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Reduction</w:t>
            </w:r>
            <w:r w:rsidRPr="000169DA">
              <w:rPr>
                <w:rFonts w:cs="Times New Roman"/>
                <w:spacing w:val="-1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through</w:t>
            </w:r>
            <w:r w:rsidRPr="000169DA">
              <w:rPr>
                <w:rFonts w:cs="Times New Roman"/>
                <w:spacing w:val="-1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the</w:t>
            </w:r>
            <w:r w:rsidRPr="000169DA">
              <w:rPr>
                <w:rFonts w:cs="Times New Roman"/>
                <w:spacing w:val="-10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Synergistic</w:t>
            </w:r>
            <w:r w:rsidRPr="000169DA">
              <w:rPr>
                <w:rFonts w:cs="Times New Roman"/>
                <w:spacing w:val="-87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Effects</w:t>
            </w:r>
            <w:r w:rsidRPr="000169DA">
              <w:rPr>
                <w:rFonts w:cs="Times New Roman"/>
                <w:spacing w:val="-5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of</w:t>
            </w:r>
            <w:r w:rsidRPr="000169DA">
              <w:rPr>
                <w:rFonts w:cs="Times New Roman"/>
                <w:spacing w:val="-4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Cellulose</w:t>
            </w:r>
            <w:r w:rsidRPr="000169DA">
              <w:rPr>
                <w:rFonts w:cs="Times New Roman"/>
                <w:spacing w:val="-4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and</w:t>
            </w:r>
            <w:r w:rsidRPr="000169DA">
              <w:rPr>
                <w:rFonts w:cs="Times New Roman"/>
                <w:spacing w:val="-4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Silica</w:t>
            </w:r>
            <w:r w:rsidRPr="000169DA">
              <w:rPr>
                <w:rFonts w:cs="Times New Roman"/>
                <w:spacing w:val="-5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Formed</w:t>
            </w:r>
            <w:r w:rsidRPr="000169DA">
              <w:rPr>
                <w:rFonts w:cs="Times New Roman"/>
                <w:spacing w:val="-4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via</w:t>
            </w:r>
            <w:r w:rsidRPr="000169DA">
              <w:rPr>
                <w:rFonts w:cs="Times New Roman"/>
                <w:spacing w:val="-4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Sol–Gel</w:t>
            </w:r>
            <w:r w:rsidRPr="000169DA">
              <w:rPr>
                <w:rFonts w:cs="Times New Roman"/>
                <w:spacing w:val="-4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Synthesis. Polymers</w:t>
            </w:r>
            <w:r w:rsidRPr="000169DA">
              <w:rPr>
                <w:rFonts w:cs="Times New Roman"/>
                <w:spacing w:val="-2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2024,</w:t>
            </w:r>
            <w:r w:rsidRPr="000169DA">
              <w:rPr>
                <w:rFonts w:cs="Times New Roman"/>
                <w:spacing w:val="3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16,</w:t>
            </w:r>
            <w:r w:rsidRPr="000169DA">
              <w:rPr>
                <w:rFonts w:cs="Times New Roman"/>
                <w:spacing w:val="3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2855.</w:t>
            </w:r>
            <w:r w:rsidRPr="000169DA">
              <w:rPr>
                <w:rFonts w:cs="Times New Roman"/>
                <w:spacing w:val="12"/>
                <w:szCs w:val="20"/>
                <w:lang w:val="en-US"/>
              </w:rPr>
              <w:t xml:space="preserve"> </w:t>
            </w:r>
            <w:hyperlink r:id="rId20" w:history="1">
              <w:r w:rsidRPr="000169DA">
                <w:rPr>
                  <w:rStyle w:val="a6"/>
                  <w:rFonts w:cs="Times New Roman"/>
                  <w:szCs w:val="20"/>
                  <w:lang w:val="en-US"/>
                </w:rPr>
                <w:t>https://doi.org/10.3390/polym16202855</w:t>
              </w:r>
            </w:hyperlink>
            <w:r w:rsidRPr="000169DA">
              <w:rPr>
                <w:rStyle w:val="a6"/>
                <w:rFonts w:cs="Times New Roman"/>
                <w:szCs w:val="20"/>
                <w:lang w:val="en-US"/>
              </w:rPr>
              <w:t xml:space="preserve"> </w:t>
            </w:r>
            <w:r w:rsidRPr="000169DA">
              <w:rPr>
                <w:rFonts w:cs="Times New Roman"/>
                <w:szCs w:val="20"/>
                <w:lang w:val="en-US"/>
              </w:rPr>
              <w:t>CiteScore (Scopus) 9,7 Q1, IMPACT FACTOR 4.9, percentile 81%.</w:t>
            </w:r>
          </w:p>
          <w:p w14:paraId="741E269B" w14:textId="77777777" w:rsidR="00021EFB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0169DA">
              <w:rPr>
                <w:rFonts w:cs="Times New Roman"/>
                <w:szCs w:val="20"/>
                <w:lang w:val="kk-KZ"/>
              </w:rPr>
              <w:t>I</w:t>
            </w:r>
            <w:r w:rsidRPr="000169DA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>gor Makarov; Gulbarshin Shambilova; Aigul Bukanova; Fazilat Kairliyeva; Saule Bukanova; Zhanar Kadasheva; Radmir Gainutdinov; Alexander Koksharov; Ivan Komarov; Junlong Song </w:t>
            </w:r>
            <w:r w:rsidRPr="000169DA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и</w:t>
            </w:r>
            <w:r w:rsidRPr="000169DA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 xml:space="preserve"> </w:t>
            </w:r>
            <w:r w:rsidRPr="000169DA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другие</w:t>
            </w:r>
            <w:r w:rsidRPr="000169DA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 xml:space="preserve">. </w:t>
            </w:r>
            <w:r w:rsidRPr="000169DA">
              <w:rPr>
                <w:rFonts w:cs="Times New Roman"/>
                <w:color w:val="000000"/>
                <w:szCs w:val="20"/>
                <w:lang w:val="en-US"/>
              </w:rPr>
              <w:t xml:space="preserve">Low-Alpha-Cellulose-Based Membranes. </w:t>
            </w:r>
            <w:r w:rsidRPr="000169DA">
              <w:rPr>
                <w:rStyle w:val="ad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Polymers</w:t>
            </w:r>
            <w:r w:rsidRPr="000169DA">
              <w:rPr>
                <w:rFonts w:cs="Times New Roman"/>
                <w:i/>
                <w:iCs/>
                <w:color w:val="222222"/>
                <w:szCs w:val="20"/>
                <w:shd w:val="clear" w:color="auto" w:fill="FFFFFF"/>
                <w:lang w:val="en-US"/>
              </w:rPr>
              <w:t> </w:t>
            </w:r>
            <w:r w:rsidRPr="000169DA">
              <w:rPr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2025, </w:t>
            </w:r>
            <w:r w:rsidRPr="000169DA">
              <w:rPr>
                <w:rStyle w:val="ad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17</w:t>
            </w:r>
            <w:r w:rsidRPr="000169DA">
              <w:rPr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(5), 598;  </w:t>
            </w:r>
            <w:hyperlink r:id="rId21" w:history="1">
              <w:r w:rsidRPr="000169DA">
                <w:rPr>
                  <w:rStyle w:val="a6"/>
                  <w:rFonts w:cs="Times New Roman"/>
                  <w:szCs w:val="20"/>
                  <w:lang w:val="en-US"/>
                </w:rPr>
                <w:t>https://doi.org/10.3390/polym17050598</w:t>
              </w:r>
            </w:hyperlink>
            <w:r w:rsidRPr="00B61C03">
              <w:rPr>
                <w:rStyle w:val="a6"/>
                <w:lang w:val="en-US"/>
              </w:rPr>
              <w:t xml:space="preserve"> </w:t>
            </w:r>
            <w:r w:rsidRPr="00B61C03">
              <w:rPr>
                <w:rFonts w:cs="Times New Roman"/>
                <w:szCs w:val="20"/>
                <w:lang w:val="en-US"/>
              </w:rPr>
              <w:t xml:space="preserve">CiteScore (Scopus) 9,7 Q1, IMPACT FACTOR 4.9,  percentile 81% </w:t>
            </w:r>
          </w:p>
          <w:p w14:paraId="43BBEEF6" w14:textId="77777777" w:rsidR="00021EFB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  <w:tab w:val="left" w:pos="7488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Rinat M. Iskakov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1,2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Aigul S. Bukanova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1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Style w:val="sciprofiles-linkname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Altynay S. Kalauova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3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Fazilat B. Kairliyeva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1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Alimzhan N. Nauashev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1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Gulbarshin K. Shambilova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1,3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Ivan M. Obidin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4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Mikhail S. Kuzin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4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Dmitryi N. Chernenko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4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Timofey D. Patsaev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5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Pavel S. Gerasimenko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4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Igor S. Makarov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> 4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 and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Ivan Yu. Skvortsov</w:t>
            </w:r>
            <w:r w:rsidRPr="0096071A">
              <w:rPr>
                <w:rStyle w:val="inlineblock"/>
                <w:rFonts w:cs="Times New Roman"/>
                <w:color w:val="222222"/>
                <w:szCs w:val="20"/>
                <w:shd w:val="clear" w:color="auto" w:fill="FFFFFF"/>
                <w:vertAlign w:val="superscript"/>
                <w:lang w:val="en-US"/>
              </w:rPr>
              <w:t xml:space="preserve"> 4,* </w:t>
            </w:r>
            <w:r w:rsidRPr="0096071A">
              <w:rPr>
                <w:rFonts w:cs="Times New Roman"/>
                <w:color w:val="000000"/>
                <w:szCs w:val="20"/>
                <w:lang w:val="en-US"/>
              </w:rPr>
              <w:t>Eco-Friendly Polypropylene Composites Reinforced with Cellulose Fibers and Silica Nanoparticles.</w:t>
            </w:r>
            <w:r w:rsidRPr="0096071A">
              <w:rPr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Style w:val="ad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Polymers</w:t>
            </w:r>
            <w:r w:rsidRPr="0096071A">
              <w:rPr>
                <w:rFonts w:cs="Times New Roman"/>
                <w:i/>
                <w:iCs/>
                <w:color w:val="222222"/>
                <w:szCs w:val="20"/>
                <w:shd w:val="clear" w:color="auto" w:fill="FFFFFF"/>
                <w:lang w:val="en-US"/>
              </w:rPr>
              <w:t> </w:t>
            </w:r>
            <w:r w:rsidRPr="0096071A">
              <w:rPr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2025, </w:t>
            </w:r>
            <w:r w:rsidRPr="0096071A">
              <w:rPr>
                <w:rStyle w:val="ad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17</w:t>
            </w:r>
            <w:r w:rsidRPr="0096071A">
              <w:rPr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>(10), 1290</w:t>
            </w:r>
            <w:r w:rsidRPr="0096071A">
              <w:rPr>
                <w:rStyle w:val="ad"/>
                <w:rFonts w:cs="Times New Roman"/>
                <w:color w:val="222222"/>
                <w:szCs w:val="20"/>
                <w:shd w:val="clear" w:color="auto" w:fill="FFFFFF"/>
                <w:lang w:val="en-US"/>
              </w:rPr>
              <w:t xml:space="preserve"> </w:t>
            </w:r>
            <w:hyperlink r:id="rId22" w:history="1">
              <w:r w:rsidRPr="0096071A">
                <w:rPr>
                  <w:rStyle w:val="a6"/>
                  <w:rFonts w:cs="Times New Roman"/>
                  <w:szCs w:val="20"/>
                  <w:shd w:val="clear" w:color="auto" w:fill="FFFFFF"/>
                  <w:lang w:val="en-US"/>
                </w:rPr>
                <w:t>https://doi.org/10.3390/polym17101290</w:t>
              </w:r>
            </w:hyperlink>
            <w:r>
              <w:rPr>
                <w:rStyle w:val="a6"/>
                <w:rFonts w:cs="Times New Roman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  <w:lang w:val="en-US"/>
              </w:rPr>
              <w:t>CiteScore (</w:t>
            </w:r>
            <w:r w:rsidRPr="0096071A">
              <w:rPr>
                <w:szCs w:val="20"/>
                <w:lang w:val="en-US"/>
              </w:rPr>
              <w:t xml:space="preserve">Scopus) 9,7 </w:t>
            </w:r>
            <w:r w:rsidRPr="0096071A">
              <w:rPr>
                <w:rFonts w:cs="Times New Roman"/>
                <w:szCs w:val="20"/>
                <w:lang w:val="en-US"/>
              </w:rPr>
              <w:t>Q1, IMPACT FACTOR 4.9, percentile 81%.</w:t>
            </w:r>
          </w:p>
          <w:p w14:paraId="1BCB2784" w14:textId="77777777" w:rsidR="00021EFB" w:rsidRPr="0096071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  <w:tab w:val="left" w:pos="7488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96071A">
              <w:rPr>
                <w:rFonts w:cs="Times New Roman"/>
                <w:szCs w:val="20"/>
              </w:rPr>
              <w:t>Шакуликова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Г</w:t>
            </w:r>
            <w:r w:rsidRPr="0096071A">
              <w:rPr>
                <w:rFonts w:cs="Times New Roman"/>
                <w:szCs w:val="20"/>
                <w:lang w:val="en-US"/>
              </w:rPr>
              <w:t>.</w:t>
            </w:r>
            <w:r w:rsidRPr="0096071A">
              <w:rPr>
                <w:rFonts w:cs="Times New Roman"/>
                <w:szCs w:val="20"/>
              </w:rPr>
              <w:t>Т</w:t>
            </w:r>
            <w:r w:rsidRPr="0096071A">
              <w:rPr>
                <w:rFonts w:cs="Times New Roman"/>
                <w:szCs w:val="20"/>
                <w:lang w:val="en-US"/>
              </w:rPr>
              <w:t xml:space="preserve">., </w:t>
            </w:r>
            <w:r w:rsidRPr="0096071A">
              <w:rPr>
                <w:rFonts w:cs="Times New Roman"/>
                <w:szCs w:val="20"/>
              </w:rPr>
              <w:t>Искаков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Р</w:t>
            </w:r>
            <w:r w:rsidRPr="0096071A">
              <w:rPr>
                <w:rFonts w:cs="Times New Roman"/>
                <w:szCs w:val="20"/>
                <w:lang w:val="en-US"/>
              </w:rPr>
              <w:t>.</w:t>
            </w:r>
            <w:r w:rsidRPr="0096071A">
              <w:rPr>
                <w:rFonts w:cs="Times New Roman"/>
                <w:szCs w:val="20"/>
              </w:rPr>
              <w:t>М</w:t>
            </w:r>
            <w:r w:rsidRPr="0096071A">
              <w:rPr>
                <w:rFonts w:cs="Times New Roman"/>
                <w:szCs w:val="20"/>
                <w:lang w:val="en-US"/>
              </w:rPr>
              <w:t xml:space="preserve">., </w:t>
            </w:r>
            <w:r w:rsidRPr="0096071A">
              <w:rPr>
                <w:rFonts w:cs="Times New Roman"/>
                <w:szCs w:val="20"/>
              </w:rPr>
              <w:t>Досмагамбетова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М</w:t>
            </w:r>
            <w:r w:rsidRPr="0096071A">
              <w:rPr>
                <w:rFonts w:cs="Times New Roman"/>
                <w:szCs w:val="20"/>
                <w:lang w:val="en-US"/>
              </w:rPr>
              <w:t>.</w:t>
            </w:r>
            <w:r w:rsidRPr="0096071A">
              <w:rPr>
                <w:rFonts w:cs="Times New Roman"/>
                <w:szCs w:val="20"/>
              </w:rPr>
              <w:t>К</w:t>
            </w:r>
            <w:r w:rsidRPr="0096071A">
              <w:rPr>
                <w:rFonts w:cs="Times New Roman"/>
                <w:szCs w:val="20"/>
                <w:lang w:val="en-US"/>
              </w:rPr>
              <w:t xml:space="preserve">., </w:t>
            </w:r>
            <w:r w:rsidRPr="0096071A">
              <w:rPr>
                <w:rFonts w:cs="Times New Roman"/>
                <w:szCs w:val="20"/>
              </w:rPr>
              <w:t>Шамбилова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Г</w:t>
            </w:r>
            <w:r w:rsidRPr="0096071A">
              <w:rPr>
                <w:rFonts w:cs="Times New Roman"/>
                <w:szCs w:val="20"/>
                <w:lang w:val="en-US"/>
              </w:rPr>
              <w:t>.</w:t>
            </w:r>
            <w:r w:rsidRPr="0096071A">
              <w:rPr>
                <w:rFonts w:cs="Times New Roman"/>
                <w:szCs w:val="20"/>
              </w:rPr>
              <w:t>К</w:t>
            </w:r>
            <w:r w:rsidRPr="0096071A">
              <w:rPr>
                <w:rFonts w:cs="Times New Roman"/>
                <w:szCs w:val="20"/>
                <w:lang w:val="en-US"/>
              </w:rPr>
              <w:t xml:space="preserve">.,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Буканова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С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.,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Канбетов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Ш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.,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Кулбатыров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Д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К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.,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Жаксиева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Г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Р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.,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Балкембай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С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Кулкайрова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Б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.,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Ауганбаева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 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>.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</w:rPr>
              <w:t>А</w:t>
            </w:r>
            <w:r w:rsidRPr="0096071A">
              <w:rPr>
                <w:rFonts w:cs="Times New Roman"/>
                <w:color w:val="4F5671"/>
                <w:szCs w:val="20"/>
                <w:shd w:val="clear" w:color="auto" w:fill="FFFFFF"/>
                <w:lang w:val="en-US"/>
              </w:rPr>
              <w:t xml:space="preserve">. </w:t>
            </w:r>
            <w:r w:rsidRPr="0096071A">
              <w:rPr>
                <w:rFonts w:cs="Times New Roman"/>
                <w:szCs w:val="20"/>
              </w:rPr>
              <w:t>Способ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очистки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промышленных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сточных</w:t>
            </w:r>
            <w:r w:rsidRPr="0096071A">
              <w:rPr>
                <w:rFonts w:cs="Times New Roman"/>
                <w:szCs w:val="20"/>
                <w:lang w:val="en-US"/>
              </w:rPr>
              <w:t xml:space="preserve"> </w:t>
            </w:r>
            <w:r w:rsidRPr="0096071A">
              <w:rPr>
                <w:rFonts w:cs="Times New Roman"/>
                <w:szCs w:val="20"/>
              </w:rPr>
              <w:t>вод</w:t>
            </w:r>
            <w:r w:rsidRPr="0096071A">
              <w:rPr>
                <w:rFonts w:cs="Times New Roman"/>
                <w:szCs w:val="20"/>
                <w:lang w:val="en-US"/>
              </w:rPr>
              <w:t xml:space="preserve">. </w:t>
            </w:r>
            <w:r w:rsidRPr="0096071A">
              <w:rPr>
                <w:rFonts w:cs="Times New Roman"/>
                <w:bCs/>
                <w:szCs w:val="20"/>
                <w:lang w:val="kk-KZ"/>
              </w:rPr>
              <w:t>Патент №10275 на полезную модель 07.03.2025г.</w:t>
            </w:r>
          </w:p>
          <w:p w14:paraId="5BB7A5C1" w14:textId="77777777" w:rsidR="00021EFB" w:rsidRPr="0096071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  <w:tab w:val="left" w:pos="7488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96071A">
              <w:rPr>
                <w:rFonts w:cs="Times New Roman"/>
                <w:szCs w:val="20"/>
                <w:shd w:val="clear" w:color="auto" w:fill="FFFFFF"/>
                <w:lang w:val="kk-KZ"/>
              </w:rPr>
              <w:t>Т</w:t>
            </w:r>
            <w:r w:rsidRPr="0096071A">
              <w:rPr>
                <w:rFonts w:cs="Times New Roman"/>
                <w:szCs w:val="20"/>
              </w:rPr>
              <w:t>ұрлан П.Б., Кайрлиева Ф.Б., Буканова А.С., Буканова С.К. Анплиз октаноповышающих добавок для улучшения топливных характеристик бензинов // Сборник материалов международной научно-практической конференции «Наследие ученого: наука и прогресс». Атырау, 2025. С. 263-266.</w:t>
            </w:r>
          </w:p>
          <w:p w14:paraId="2F5EBCCC" w14:textId="77777777" w:rsidR="00021EFB" w:rsidRPr="0096071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  <w:tab w:val="left" w:pos="7488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96071A">
              <w:rPr>
                <w:rFonts w:cs="Times New Roman"/>
                <w:szCs w:val="20"/>
              </w:rPr>
              <w:t>Карабасова Н.А., Буканова С.К., Ешманов А.Б., Кайрлиева Ф.Б., Буканова А.С. Обзор технологий переработки нефтяных остатков на Атырауском НПЗ // Сборник материалов международной научно-практической конференции «Наследие ученого: наука и прогресс». Атырау, 2025. С. 252-257.</w:t>
            </w:r>
          </w:p>
          <w:p w14:paraId="607DB639" w14:textId="77777777" w:rsidR="00021EFB" w:rsidRPr="0096071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  <w:tab w:val="left" w:pos="7488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96071A">
              <w:rPr>
                <w:rFonts w:cs="Times New Roman"/>
                <w:szCs w:val="20"/>
              </w:rPr>
              <w:t xml:space="preserve">Буканова А., Тулеушева А., Кайрлиева Ф., Буканова С., Карабасова Н., Шайдуллаев Т. </w:t>
            </w:r>
            <w:r w:rsidRPr="0096071A">
              <w:rPr>
                <w:rFonts w:cs="Times New Roman"/>
                <w:szCs w:val="20"/>
              </w:rPr>
              <w:lastRenderedPageBreak/>
              <w:t>Исследования эффективности процесса деэмульгирования на промыслах // Сборник материалов международной научно-практической конференции «Наследие ученого: наука и прогресс». Атырау, 2025. С. 263-266.</w:t>
            </w:r>
          </w:p>
          <w:p w14:paraId="51C499EC" w14:textId="77777777" w:rsidR="00021EFB" w:rsidRPr="0096071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  <w:tab w:val="left" w:pos="7488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96071A">
              <w:rPr>
                <w:rFonts w:cs="Times New Roman"/>
                <w:szCs w:val="20"/>
                <w:shd w:val="clear" w:color="auto" w:fill="FFFFFF"/>
              </w:rPr>
              <w:t>К</w:t>
            </w:r>
            <w:r w:rsidRPr="0096071A">
              <w:rPr>
                <w:rFonts w:cs="Times New Roman"/>
                <w:szCs w:val="20"/>
                <w:shd w:val="clear" w:color="auto" w:fill="FFFFFF"/>
                <w:lang w:val="kk-KZ"/>
              </w:rPr>
              <w:t xml:space="preserve">аrabassova N.A., Bukanova S.K., Kairliyeva F.B., Bukanova A.S. </w:t>
            </w:r>
            <w:r w:rsidRPr="0096071A">
              <w:rPr>
                <w:rFonts w:cs="Times New Roman"/>
                <w:szCs w:val="20"/>
                <w:lang w:val="kk-KZ"/>
              </w:rPr>
              <w:t>MODERNIZATION OF ATYRAU OIL REFINERY: CONDITION AND PERSPECTIVES</w:t>
            </w:r>
            <w:r w:rsidRPr="0096071A">
              <w:rPr>
                <w:rFonts w:cs="Times New Roman"/>
                <w:szCs w:val="20"/>
                <w:shd w:val="clear" w:color="auto" w:fill="FFFFFF"/>
                <w:lang w:val="kk-KZ"/>
              </w:rPr>
              <w:t xml:space="preserve"> // </w:t>
            </w:r>
            <w:r w:rsidRPr="0096071A">
              <w:rPr>
                <w:rFonts w:cs="Times New Roman"/>
                <w:szCs w:val="20"/>
                <w:lang w:val="kk-KZ"/>
              </w:rPr>
              <w:t xml:space="preserve">Материалы международной научной конференции «XXV Сатпаевские чтения», посвящённой 65-летию </w:t>
            </w:r>
            <w:r w:rsidRPr="0096071A">
              <w:rPr>
                <w:rFonts w:cs="Times New Roman"/>
                <w:szCs w:val="20"/>
              </w:rPr>
              <w:t>Торайгыров Университета</w:t>
            </w:r>
            <w:r w:rsidRPr="0096071A">
              <w:rPr>
                <w:rFonts w:cs="Times New Roman"/>
                <w:szCs w:val="20"/>
                <w:lang w:val="kk-KZ"/>
              </w:rPr>
              <w:t>. Павлодар, 2025. С. 433-437.</w:t>
            </w:r>
          </w:p>
          <w:p w14:paraId="7E51DE2E" w14:textId="77777777" w:rsidR="00021EFB" w:rsidRPr="0096071A" w:rsidRDefault="00021EFB" w:rsidP="00021EFB">
            <w:pPr>
              <w:pStyle w:val="a7"/>
              <w:keepNext/>
              <w:numPr>
                <w:ilvl w:val="0"/>
                <w:numId w:val="2"/>
              </w:numPr>
              <w:tabs>
                <w:tab w:val="left" w:pos="76"/>
                <w:tab w:val="left" w:pos="119"/>
                <w:tab w:val="left" w:pos="7488"/>
              </w:tabs>
              <w:snapToGrid w:val="0"/>
              <w:rPr>
                <w:rFonts w:cs="Times New Roman"/>
                <w:szCs w:val="20"/>
                <w:lang w:val="en-US"/>
              </w:rPr>
            </w:pPr>
            <w:r w:rsidRPr="0096071A">
              <w:rPr>
                <w:rFonts w:cs="Times New Roman"/>
                <w:szCs w:val="20"/>
                <w:lang w:val="kk-KZ"/>
              </w:rPr>
              <w:t xml:space="preserve">Буканова С.К., Буканова А.С., Кайрлиева Ф.Б. Технология получения серобитумного вяжущего. Нефть и газ. - 2025. -№3. – С.211-217. </w:t>
            </w:r>
            <w:hyperlink r:id="rId23" w:tgtFrame="_blank" w:history="1">
              <w:r w:rsidRPr="0096071A">
                <w:rPr>
                  <w:rStyle w:val="a6"/>
                  <w:rFonts w:cs="Times New Roman"/>
                  <w:color w:val="085C77"/>
                  <w:spacing w:val="4"/>
                  <w:szCs w:val="20"/>
                  <w:shd w:val="clear" w:color="auto" w:fill="FFFFFF"/>
                  <w:lang w:val="kk-KZ"/>
                </w:rPr>
                <w:t>https://doi.org/10.37878/2708-0080/2025-3.14</w:t>
              </w:r>
            </w:hyperlink>
          </w:p>
          <w:p w14:paraId="63297D65" w14:textId="35F17903" w:rsidR="0032548C" w:rsidRPr="00A33E1D" w:rsidRDefault="0032548C" w:rsidP="0032548C">
            <w:pPr>
              <w:pStyle w:val="a7"/>
              <w:tabs>
                <w:tab w:val="left" w:pos="76"/>
                <w:tab w:val="left" w:pos="119"/>
                <w:tab w:val="left" w:pos="7488"/>
              </w:tabs>
              <w:spacing w:before="59"/>
              <w:ind w:left="403"/>
              <w:rPr>
                <w:rFonts w:cs="Times New Roman"/>
                <w:szCs w:val="20"/>
                <w:shd w:val="clear" w:color="auto" w:fill="FFFFFF"/>
                <w:lang w:val="kk-KZ"/>
              </w:rPr>
            </w:pPr>
          </w:p>
        </w:tc>
      </w:tr>
    </w:tbl>
    <w:p w14:paraId="37E97145" w14:textId="77777777" w:rsidR="00436728" w:rsidRPr="00A33E1D" w:rsidRDefault="00436728">
      <w:pPr>
        <w:rPr>
          <w:lang w:val="kk-KZ"/>
        </w:rPr>
      </w:pPr>
    </w:p>
    <w:sectPr w:rsidR="00436728" w:rsidRPr="00A33E1D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006"/>
    <w:multiLevelType w:val="hybridMultilevel"/>
    <w:tmpl w:val="96FE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40CD"/>
    <w:multiLevelType w:val="hybridMultilevel"/>
    <w:tmpl w:val="5C94F7F8"/>
    <w:lvl w:ilvl="0" w:tplc="C8F044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DA568B"/>
    <w:multiLevelType w:val="hybridMultilevel"/>
    <w:tmpl w:val="DAF0D86A"/>
    <w:lvl w:ilvl="0" w:tplc="04E8A1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21CAD"/>
    <w:rsid w:val="00021EFB"/>
    <w:rsid w:val="000948FD"/>
    <w:rsid w:val="000B21D9"/>
    <w:rsid w:val="000D0434"/>
    <w:rsid w:val="000E0661"/>
    <w:rsid w:val="00110F59"/>
    <w:rsid w:val="001412AD"/>
    <w:rsid w:val="00173D2D"/>
    <w:rsid w:val="00196731"/>
    <w:rsid w:val="001E170A"/>
    <w:rsid w:val="00203F17"/>
    <w:rsid w:val="00204074"/>
    <w:rsid w:val="00224F20"/>
    <w:rsid w:val="002450FF"/>
    <w:rsid w:val="00245108"/>
    <w:rsid w:val="00260445"/>
    <w:rsid w:val="00260C7E"/>
    <w:rsid w:val="002C0FA2"/>
    <w:rsid w:val="002C5795"/>
    <w:rsid w:val="00311234"/>
    <w:rsid w:val="0032548C"/>
    <w:rsid w:val="003D4F08"/>
    <w:rsid w:val="003F7FBD"/>
    <w:rsid w:val="00430EC6"/>
    <w:rsid w:val="00436728"/>
    <w:rsid w:val="00490F05"/>
    <w:rsid w:val="004976E8"/>
    <w:rsid w:val="00501BD4"/>
    <w:rsid w:val="00533A6B"/>
    <w:rsid w:val="005B6CF8"/>
    <w:rsid w:val="005E1872"/>
    <w:rsid w:val="00610595"/>
    <w:rsid w:val="00645CFA"/>
    <w:rsid w:val="006647CC"/>
    <w:rsid w:val="00700C01"/>
    <w:rsid w:val="00703861"/>
    <w:rsid w:val="007A3C2E"/>
    <w:rsid w:val="007D23A1"/>
    <w:rsid w:val="007D2CAE"/>
    <w:rsid w:val="007F7B44"/>
    <w:rsid w:val="00832AD5"/>
    <w:rsid w:val="00856BCA"/>
    <w:rsid w:val="00882EB0"/>
    <w:rsid w:val="008F2FC0"/>
    <w:rsid w:val="00903BD3"/>
    <w:rsid w:val="00916005"/>
    <w:rsid w:val="00925537"/>
    <w:rsid w:val="00965D07"/>
    <w:rsid w:val="009707C1"/>
    <w:rsid w:val="00994714"/>
    <w:rsid w:val="009D4820"/>
    <w:rsid w:val="009F208C"/>
    <w:rsid w:val="00A32A67"/>
    <w:rsid w:val="00A33E1D"/>
    <w:rsid w:val="00A45F06"/>
    <w:rsid w:val="00A56F79"/>
    <w:rsid w:val="00A75E04"/>
    <w:rsid w:val="00A767FB"/>
    <w:rsid w:val="00A92D24"/>
    <w:rsid w:val="00A94506"/>
    <w:rsid w:val="00AB7560"/>
    <w:rsid w:val="00AF22AD"/>
    <w:rsid w:val="00B0280C"/>
    <w:rsid w:val="00B36C73"/>
    <w:rsid w:val="00B67C1E"/>
    <w:rsid w:val="00BA6CC7"/>
    <w:rsid w:val="00BD4581"/>
    <w:rsid w:val="00BD6ABE"/>
    <w:rsid w:val="00C0549A"/>
    <w:rsid w:val="00C45C80"/>
    <w:rsid w:val="00C64493"/>
    <w:rsid w:val="00C75E91"/>
    <w:rsid w:val="00C91AF4"/>
    <w:rsid w:val="00CB4B1A"/>
    <w:rsid w:val="00CC5AB6"/>
    <w:rsid w:val="00D136DA"/>
    <w:rsid w:val="00D7099C"/>
    <w:rsid w:val="00D72019"/>
    <w:rsid w:val="00DA003E"/>
    <w:rsid w:val="00DC283A"/>
    <w:rsid w:val="00E04428"/>
    <w:rsid w:val="00E16CAA"/>
    <w:rsid w:val="00E31290"/>
    <w:rsid w:val="00E437CE"/>
    <w:rsid w:val="00F93A3B"/>
    <w:rsid w:val="00FA401E"/>
    <w:rsid w:val="00FA58CA"/>
    <w:rsid w:val="00FC55E0"/>
    <w:rsid w:val="00FC6275"/>
    <w:rsid w:val="00FE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paragraph" w:styleId="1">
    <w:name w:val="heading 1"/>
    <w:basedOn w:val="a"/>
    <w:next w:val="a"/>
    <w:link w:val="10"/>
    <w:uiPriority w:val="9"/>
    <w:qFormat/>
    <w:rsid w:val="00D72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paragraph" w:styleId="a4">
    <w:name w:val="Balloon Text"/>
    <w:basedOn w:val="a"/>
    <w:link w:val="a5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40">
    <w:name w:val="Заголовок 4 Знак"/>
    <w:basedOn w:val="a0"/>
    <w:link w:val="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A94506"/>
  </w:style>
  <w:style w:type="character" w:customStyle="1" w:styleId="linktext">
    <w:name w:val="link__text"/>
    <w:basedOn w:val="a0"/>
    <w:rsid w:val="00A94506"/>
  </w:style>
  <w:style w:type="character" w:customStyle="1" w:styleId="sr-only">
    <w:name w:val="sr-only"/>
    <w:basedOn w:val="a0"/>
    <w:rsid w:val="00A94506"/>
  </w:style>
  <w:style w:type="character" w:customStyle="1" w:styleId="text-meta">
    <w:name w:val="text-meta"/>
    <w:basedOn w:val="a0"/>
    <w:rsid w:val="00A94506"/>
  </w:style>
  <w:style w:type="character" w:styleId="a8">
    <w:name w:val="FollowedHyperlink"/>
    <w:basedOn w:val="a0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1">
    <w:name w:val="Основной текст1"/>
    <w:basedOn w:val="a0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9">
    <w:name w:val="Unresolved Mention"/>
    <w:basedOn w:val="a0"/>
    <w:uiPriority w:val="99"/>
    <w:semiHidden/>
    <w:unhideWhenUsed/>
    <w:rsid w:val="000B21D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65D07"/>
  </w:style>
  <w:style w:type="paragraph" w:customStyle="1" w:styleId="paragraph">
    <w:name w:val="paragraph"/>
    <w:basedOn w:val="a"/>
    <w:rsid w:val="0096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D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itle"/>
    <w:basedOn w:val="a"/>
    <w:link w:val="ac"/>
    <w:qFormat/>
    <w:rsid w:val="00965D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965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">
    <w:name w:val="author"/>
    <w:basedOn w:val="a0"/>
    <w:rsid w:val="00A33E1D"/>
  </w:style>
  <w:style w:type="character" w:customStyle="1" w:styleId="10">
    <w:name w:val="Заголовок 1 Знак"/>
    <w:basedOn w:val="a0"/>
    <w:link w:val="1"/>
    <w:uiPriority w:val="9"/>
    <w:rsid w:val="00D72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Emphasis"/>
    <w:basedOn w:val="a0"/>
    <w:uiPriority w:val="20"/>
    <w:qFormat/>
    <w:rsid w:val="00D72019"/>
    <w:rPr>
      <w:i/>
      <w:iCs/>
    </w:rPr>
  </w:style>
  <w:style w:type="paragraph" w:styleId="ae">
    <w:name w:val="List Paragraph"/>
    <w:basedOn w:val="a"/>
    <w:uiPriority w:val="34"/>
    <w:qFormat/>
    <w:rsid w:val="00D72019"/>
    <w:pPr>
      <w:ind w:left="720"/>
      <w:contextualSpacing/>
    </w:pPr>
  </w:style>
  <w:style w:type="character" w:customStyle="1" w:styleId="inlineblock">
    <w:name w:val="inlineblock"/>
    <w:basedOn w:val="a0"/>
    <w:rsid w:val="00021EFB"/>
  </w:style>
  <w:style w:type="character" w:customStyle="1" w:styleId="sciprofiles-linkname">
    <w:name w:val="sciprofiles-link__name"/>
    <w:basedOn w:val="a0"/>
    <w:rsid w:val="0002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anova66@mail.ru" TargetMode="External"/><Relationship Id="rId13" Type="http://schemas.openxmlformats.org/officeDocument/2006/relationships/hyperlink" Target="https://doi.org/10.3390/membranes13070667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doi.org/10.3390/polym17050598" TargetMode="External"/><Relationship Id="rId7" Type="http://schemas.openxmlformats.org/officeDocument/2006/relationships/hyperlink" Target="mailto:a.bukanova@aogu.edu.kz" TargetMode="External"/><Relationship Id="rId12" Type="http://schemas.openxmlformats.org/officeDocument/2006/relationships/hyperlink" Target="https://moluch.ru/archive/406/89581/" TargetMode="External"/><Relationship Id="rId17" Type="http://schemas.openxmlformats.org/officeDocument/2006/relationships/hyperlink" Target="https://doi.org/10.3390/pr1206117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ternauka.org/journal/science/internauka/332" TargetMode="External"/><Relationship Id="rId20" Type="http://schemas.openxmlformats.org/officeDocument/2006/relationships/hyperlink" Target="https://doi.org/10.3390/polym1620285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1051/e3sconf/20212880102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63/5.0183498" TargetMode="External"/><Relationship Id="rId23" Type="http://schemas.openxmlformats.org/officeDocument/2006/relationships/hyperlink" Target="https://doi.org/10.37878/2708-0080/2025-3.14" TargetMode="External"/><Relationship Id="rId10" Type="http://schemas.openxmlformats.org/officeDocument/2006/relationships/hyperlink" Target="https://doi.org/10.1051/e3sconf/202128801028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scopus.com/inward/authorDetails.url?authorID=57199327484&amp;partnerID=MN8TOARS" TargetMode="External"/><Relationship Id="rId14" Type="http://schemas.openxmlformats.org/officeDocument/2006/relationships/hyperlink" Target="https://www.mdpi.com/journal/membranes" TargetMode="External"/><Relationship Id="rId22" Type="http://schemas.openxmlformats.org/officeDocument/2006/relationships/hyperlink" Target="https://doi.org/10.3390/polym17101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0492-21E2-4635-9A9F-0B5A11D6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10843</TotalTime>
  <Pages>6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Айгуль</cp:lastModifiedBy>
  <cp:revision>96</cp:revision>
  <dcterms:created xsi:type="dcterms:W3CDTF">2023-03-14T06:03:00Z</dcterms:created>
  <dcterms:modified xsi:type="dcterms:W3CDTF">2025-10-07T06:37:00Z</dcterms:modified>
</cp:coreProperties>
</file>